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77777777"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75348D5D" w14:textId="77777777" w:rsidR="009F77AC" w:rsidRPr="001816E4" w:rsidRDefault="009F77AC">
      <w:bookmarkStart w:id="0" w:name="_GoBack"/>
      <w:bookmarkEnd w:id="0"/>
    </w:p>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251333E2" w14:textId="7D1F36C4" w:rsidR="000E2252"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0E2252">
        <w:t>1</w:t>
      </w:r>
      <w:r w:rsidR="000E2252">
        <w:rPr>
          <w:rFonts w:asciiTheme="minorHAnsi" w:eastAsiaTheme="minorEastAsia" w:hAnsiTheme="minorHAnsi" w:cstheme="minorBidi"/>
          <w:sz w:val="22"/>
          <w:szCs w:val="22"/>
        </w:rPr>
        <w:tab/>
      </w:r>
      <w:r w:rsidR="000E2252">
        <w:t>Introduction</w:t>
      </w:r>
      <w:r w:rsidR="000E2252">
        <w:tab/>
      </w:r>
      <w:r w:rsidR="000E2252">
        <w:fldChar w:fldCharType="begin"/>
      </w:r>
      <w:r w:rsidR="000E2252">
        <w:instrText xml:space="preserve"> PAGEREF _Toc467013476 \h </w:instrText>
      </w:r>
      <w:r w:rsidR="000E2252">
        <w:fldChar w:fldCharType="separate"/>
      </w:r>
      <w:r w:rsidR="000E2252">
        <w:t>1</w:t>
      </w:r>
      <w:r w:rsidR="000E2252">
        <w:fldChar w:fldCharType="end"/>
      </w:r>
    </w:p>
    <w:p w14:paraId="6CBA2610" w14:textId="38644A6A" w:rsidR="000E2252" w:rsidRDefault="000E2252">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_Toc467013477 \h </w:instrText>
      </w:r>
      <w:r>
        <w:rPr>
          <w:noProof/>
        </w:rPr>
      </w:r>
      <w:r>
        <w:rPr>
          <w:noProof/>
        </w:rPr>
        <w:fldChar w:fldCharType="separate"/>
      </w:r>
      <w:r>
        <w:rPr>
          <w:noProof/>
        </w:rPr>
        <w:t>1</w:t>
      </w:r>
      <w:r>
        <w:rPr>
          <w:noProof/>
        </w:rPr>
        <w:fldChar w:fldCharType="end"/>
      </w:r>
    </w:p>
    <w:p w14:paraId="3C532029" w14:textId="7FF70327" w:rsidR="000E2252" w:rsidRDefault="000E2252">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_Toc467013478 \h </w:instrText>
      </w:r>
      <w:r>
        <w:rPr>
          <w:noProof/>
        </w:rPr>
      </w:r>
      <w:r>
        <w:rPr>
          <w:noProof/>
        </w:rPr>
        <w:fldChar w:fldCharType="separate"/>
      </w:r>
      <w:r>
        <w:rPr>
          <w:noProof/>
        </w:rPr>
        <w:t>1</w:t>
      </w:r>
      <w:r>
        <w:rPr>
          <w:noProof/>
        </w:rPr>
        <w:fldChar w:fldCharType="end"/>
      </w:r>
    </w:p>
    <w:p w14:paraId="5C05918B" w14:textId="4C5C2F30" w:rsidR="000E2252" w:rsidRDefault="000E2252">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_Toc467013479 \h </w:instrText>
      </w:r>
      <w:r>
        <w:rPr>
          <w:noProof/>
        </w:rPr>
      </w:r>
      <w:r>
        <w:rPr>
          <w:noProof/>
        </w:rPr>
        <w:fldChar w:fldCharType="separate"/>
      </w:r>
      <w:r>
        <w:rPr>
          <w:noProof/>
        </w:rPr>
        <w:t>1</w:t>
      </w:r>
      <w:r>
        <w:rPr>
          <w:noProof/>
        </w:rPr>
        <w:fldChar w:fldCharType="end"/>
      </w:r>
    </w:p>
    <w:p w14:paraId="5CAD7ABB" w14:textId="1CEDEE86" w:rsidR="000E2252" w:rsidRDefault="000E2252">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_Toc467013480 \h </w:instrText>
      </w:r>
      <w:r>
        <w:rPr>
          <w:noProof/>
        </w:rPr>
      </w:r>
      <w:r>
        <w:rPr>
          <w:noProof/>
        </w:rPr>
        <w:fldChar w:fldCharType="separate"/>
      </w:r>
      <w:r>
        <w:rPr>
          <w:noProof/>
        </w:rPr>
        <w:t>2</w:t>
      </w:r>
      <w:r>
        <w:rPr>
          <w:noProof/>
        </w:rPr>
        <w:fldChar w:fldCharType="end"/>
      </w:r>
    </w:p>
    <w:p w14:paraId="064A2DBB" w14:textId="2DC8B3D1" w:rsidR="000E2252" w:rsidRDefault="000E2252">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_Toc467013481 \h </w:instrText>
      </w:r>
      <w:r>
        <w:rPr>
          <w:noProof/>
        </w:rPr>
      </w:r>
      <w:r>
        <w:rPr>
          <w:noProof/>
        </w:rPr>
        <w:fldChar w:fldCharType="separate"/>
      </w:r>
      <w:r>
        <w:rPr>
          <w:noProof/>
        </w:rPr>
        <w:t>3</w:t>
      </w:r>
      <w:r>
        <w:rPr>
          <w:noProof/>
        </w:rPr>
        <w:fldChar w:fldCharType="end"/>
      </w:r>
    </w:p>
    <w:p w14:paraId="66C91195" w14:textId="41F0AE3F" w:rsidR="000E2252" w:rsidRDefault="000E2252">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_Toc467013482 \h </w:instrText>
      </w:r>
      <w:r>
        <w:rPr>
          <w:noProof/>
        </w:rPr>
      </w:r>
      <w:r>
        <w:rPr>
          <w:noProof/>
        </w:rPr>
        <w:fldChar w:fldCharType="separate"/>
      </w:r>
      <w:r>
        <w:rPr>
          <w:noProof/>
        </w:rPr>
        <w:t>4</w:t>
      </w:r>
      <w:r>
        <w:rPr>
          <w:noProof/>
        </w:rPr>
        <w:fldChar w:fldCharType="end"/>
      </w:r>
    </w:p>
    <w:p w14:paraId="4AB4793D" w14:textId="4FB47348" w:rsidR="000E2252" w:rsidRDefault="000E2252">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_Toc467013483 \h </w:instrText>
      </w:r>
      <w:r>
        <w:rPr>
          <w:noProof/>
        </w:rPr>
      </w:r>
      <w:r>
        <w:rPr>
          <w:noProof/>
        </w:rPr>
        <w:fldChar w:fldCharType="separate"/>
      </w:r>
      <w:r>
        <w:rPr>
          <w:noProof/>
        </w:rPr>
        <w:t>4</w:t>
      </w:r>
      <w:r>
        <w:rPr>
          <w:noProof/>
        </w:rPr>
        <w:fldChar w:fldCharType="end"/>
      </w:r>
    </w:p>
    <w:p w14:paraId="089BF986" w14:textId="3510D0EB" w:rsidR="000E2252" w:rsidRDefault="000E2252">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_Toc467013484 \h </w:instrText>
      </w:r>
      <w:r>
        <w:rPr>
          <w:noProof/>
        </w:rPr>
      </w:r>
      <w:r>
        <w:rPr>
          <w:noProof/>
        </w:rPr>
        <w:fldChar w:fldCharType="separate"/>
      </w:r>
      <w:r>
        <w:rPr>
          <w:noProof/>
        </w:rPr>
        <w:t>4</w:t>
      </w:r>
      <w:r>
        <w:rPr>
          <w:noProof/>
        </w:rPr>
        <w:fldChar w:fldCharType="end"/>
      </w:r>
    </w:p>
    <w:p w14:paraId="62C02D6B" w14:textId="5DA4DB5D" w:rsidR="000E2252" w:rsidRDefault="000E2252">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_Toc467013485 \h </w:instrText>
      </w:r>
      <w:r>
        <w:rPr>
          <w:noProof/>
        </w:rPr>
      </w:r>
      <w:r>
        <w:rPr>
          <w:noProof/>
        </w:rPr>
        <w:fldChar w:fldCharType="separate"/>
      </w:r>
      <w:r>
        <w:rPr>
          <w:noProof/>
        </w:rPr>
        <w:t>4</w:t>
      </w:r>
      <w:r>
        <w:rPr>
          <w:noProof/>
        </w:rPr>
        <w:fldChar w:fldCharType="end"/>
      </w:r>
    </w:p>
    <w:p w14:paraId="019B545E" w14:textId="51D93EEF" w:rsidR="000E2252" w:rsidRDefault="000E2252">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_Toc467013486 \h </w:instrText>
      </w:r>
      <w:r>
        <w:rPr>
          <w:noProof/>
        </w:rPr>
      </w:r>
      <w:r>
        <w:rPr>
          <w:noProof/>
        </w:rPr>
        <w:fldChar w:fldCharType="separate"/>
      </w:r>
      <w:r>
        <w:rPr>
          <w:noProof/>
        </w:rPr>
        <w:t>4</w:t>
      </w:r>
      <w:r>
        <w:rPr>
          <w:noProof/>
        </w:rPr>
        <w:fldChar w:fldCharType="end"/>
      </w:r>
    </w:p>
    <w:p w14:paraId="3F003C3E" w14:textId="7CA5BD67" w:rsidR="000E2252" w:rsidRDefault="000E2252">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_Toc467013487 \h </w:instrText>
      </w:r>
      <w:r>
        <w:fldChar w:fldCharType="separate"/>
      </w:r>
      <w:r>
        <w:t>6</w:t>
      </w:r>
      <w:r>
        <w:fldChar w:fldCharType="end"/>
      </w:r>
    </w:p>
    <w:p w14:paraId="0713E2CE" w14:textId="08911510" w:rsidR="000E2252" w:rsidRDefault="000E2252">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_Toc467013488 \h </w:instrText>
      </w:r>
      <w:r>
        <w:rPr>
          <w:noProof/>
        </w:rPr>
      </w:r>
      <w:r>
        <w:rPr>
          <w:noProof/>
        </w:rPr>
        <w:fldChar w:fldCharType="separate"/>
      </w:r>
      <w:r>
        <w:rPr>
          <w:noProof/>
        </w:rPr>
        <w:t>6</w:t>
      </w:r>
      <w:r>
        <w:rPr>
          <w:noProof/>
        </w:rPr>
        <w:fldChar w:fldCharType="end"/>
      </w:r>
    </w:p>
    <w:p w14:paraId="20F0B455" w14:textId="399980F9" w:rsidR="000E2252" w:rsidRDefault="000E2252">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_Toc467013489 \h </w:instrText>
      </w:r>
      <w:r>
        <w:rPr>
          <w:noProof/>
        </w:rPr>
      </w:r>
      <w:r>
        <w:rPr>
          <w:noProof/>
        </w:rPr>
        <w:fldChar w:fldCharType="separate"/>
      </w:r>
      <w:r>
        <w:rPr>
          <w:noProof/>
        </w:rPr>
        <w:t>6</w:t>
      </w:r>
      <w:r>
        <w:rPr>
          <w:noProof/>
        </w:rPr>
        <w:fldChar w:fldCharType="end"/>
      </w:r>
    </w:p>
    <w:p w14:paraId="4D42DCE5" w14:textId="684E4F7C" w:rsidR="000E2252" w:rsidRDefault="000E2252">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_Toc467013490 \h </w:instrText>
      </w:r>
      <w:r>
        <w:rPr>
          <w:noProof/>
        </w:rPr>
      </w:r>
      <w:r>
        <w:rPr>
          <w:noProof/>
        </w:rPr>
        <w:fldChar w:fldCharType="separate"/>
      </w:r>
      <w:r>
        <w:rPr>
          <w:noProof/>
        </w:rPr>
        <w:t>9</w:t>
      </w:r>
      <w:r>
        <w:rPr>
          <w:noProof/>
        </w:rPr>
        <w:fldChar w:fldCharType="end"/>
      </w:r>
    </w:p>
    <w:p w14:paraId="192129FD" w14:textId="19034AA0" w:rsidR="000E2252" w:rsidRDefault="000E2252">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_Toc467013491 \h </w:instrText>
      </w:r>
      <w:r>
        <w:rPr>
          <w:noProof/>
        </w:rPr>
      </w:r>
      <w:r>
        <w:rPr>
          <w:noProof/>
        </w:rPr>
        <w:fldChar w:fldCharType="separate"/>
      </w:r>
      <w:r>
        <w:rPr>
          <w:noProof/>
        </w:rPr>
        <w:t>10</w:t>
      </w:r>
      <w:r>
        <w:rPr>
          <w:noProof/>
        </w:rPr>
        <w:fldChar w:fldCharType="end"/>
      </w:r>
    </w:p>
    <w:p w14:paraId="28549EDC" w14:textId="2AC17B40" w:rsidR="000E2252" w:rsidRDefault="000E2252">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_Toc467013492 \h </w:instrText>
      </w:r>
      <w:r>
        <w:rPr>
          <w:noProof/>
        </w:rPr>
      </w:r>
      <w:r>
        <w:rPr>
          <w:noProof/>
        </w:rPr>
        <w:fldChar w:fldCharType="separate"/>
      </w:r>
      <w:r>
        <w:rPr>
          <w:noProof/>
        </w:rPr>
        <w:t>18</w:t>
      </w:r>
      <w:r>
        <w:rPr>
          <w:noProof/>
        </w:rPr>
        <w:fldChar w:fldCharType="end"/>
      </w:r>
    </w:p>
    <w:p w14:paraId="515F307E" w14:textId="4C9D7B25" w:rsidR="000E2252" w:rsidRDefault="000E2252">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_Toc467013493 \h </w:instrText>
      </w:r>
      <w:r>
        <w:rPr>
          <w:noProof/>
        </w:rPr>
      </w:r>
      <w:r>
        <w:rPr>
          <w:noProof/>
        </w:rPr>
        <w:fldChar w:fldCharType="separate"/>
      </w:r>
      <w:r>
        <w:rPr>
          <w:noProof/>
        </w:rPr>
        <w:t>24</w:t>
      </w:r>
      <w:r>
        <w:rPr>
          <w:noProof/>
        </w:rPr>
        <w:fldChar w:fldCharType="end"/>
      </w:r>
    </w:p>
    <w:p w14:paraId="4BD4320E" w14:textId="796E4456" w:rsidR="000E2252" w:rsidRDefault="000E2252">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_Toc467013494 \h </w:instrText>
      </w:r>
      <w:r>
        <w:rPr>
          <w:noProof/>
        </w:rPr>
      </w:r>
      <w:r>
        <w:rPr>
          <w:noProof/>
        </w:rPr>
        <w:fldChar w:fldCharType="separate"/>
      </w:r>
      <w:r>
        <w:rPr>
          <w:noProof/>
        </w:rPr>
        <w:t>24</w:t>
      </w:r>
      <w:r>
        <w:rPr>
          <w:noProof/>
        </w:rPr>
        <w:fldChar w:fldCharType="end"/>
      </w:r>
    </w:p>
    <w:p w14:paraId="26912C96" w14:textId="1D137905" w:rsidR="000E2252" w:rsidRDefault="000E2252">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_Toc467013495 \h </w:instrText>
      </w:r>
      <w:r>
        <w:fldChar w:fldCharType="separate"/>
      </w:r>
      <w:r>
        <w:t>26</w:t>
      </w:r>
      <w:r>
        <w:fldChar w:fldCharType="end"/>
      </w:r>
    </w:p>
    <w:p w14:paraId="2A6846BE" w14:textId="56BC81EC" w:rsidR="000E2252" w:rsidRDefault="000E2252">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_Toc467013496 \h </w:instrText>
      </w:r>
      <w:r>
        <w:rPr>
          <w:noProof/>
        </w:rPr>
      </w:r>
      <w:r>
        <w:rPr>
          <w:noProof/>
        </w:rPr>
        <w:fldChar w:fldCharType="separate"/>
      </w:r>
      <w:r>
        <w:rPr>
          <w:noProof/>
        </w:rPr>
        <w:t>26</w:t>
      </w:r>
      <w:r>
        <w:rPr>
          <w:noProof/>
        </w:rPr>
        <w:fldChar w:fldCharType="end"/>
      </w:r>
    </w:p>
    <w:p w14:paraId="7D6EAF1A" w14:textId="33763FEC" w:rsidR="000E2252" w:rsidRDefault="000E2252">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_Toc467013497 \h </w:instrText>
      </w:r>
      <w:r>
        <w:rPr>
          <w:noProof/>
        </w:rPr>
      </w:r>
      <w:r>
        <w:rPr>
          <w:noProof/>
        </w:rPr>
        <w:fldChar w:fldCharType="separate"/>
      </w:r>
      <w:r>
        <w:rPr>
          <w:noProof/>
        </w:rPr>
        <w:t>26</w:t>
      </w:r>
      <w:r>
        <w:rPr>
          <w:noProof/>
        </w:rPr>
        <w:fldChar w:fldCharType="end"/>
      </w:r>
    </w:p>
    <w:p w14:paraId="5C6F2A77" w14:textId="26F1CB5B"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19EDBEE"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r w:rsidR="00AE4AD2">
        <w:rPr>
          <w:rFonts w:ascii="Times New Roman" w:hAnsi="Times New Roman"/>
          <w:sz w:val="24"/>
          <w:szCs w:val="24"/>
        </w:rPr>
        <w:t>, Digital Entertainment Group</w:t>
      </w:r>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et participant to adhere to this specification</w:t>
      </w:r>
      <w:r w:rsidRPr="003E01CA">
        <w:rPr>
          <w:rFonts w:ascii="Times New Roman" w:hAnsi="Times New Roman"/>
          <w:sz w:val="24"/>
          <w:szCs w:val="24"/>
        </w:rPr>
        <w:t xml:space="preserve">. Whether to adopt </w:t>
      </w:r>
      <w:r w:rsidR="00AE4AD2">
        <w:rPr>
          <w:rFonts w:ascii="Times New Roman" w:hAnsi="Times New Roman"/>
          <w:sz w:val="24"/>
          <w:szCs w:val="24"/>
        </w:rPr>
        <w:t>this specification</w:t>
      </w:r>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Digital Council, Digital Entertainment Group</w:t>
      </w:r>
      <w:r w:rsidRPr="003E01CA">
        <w:rPr>
          <w:rFonts w:ascii="Times New Roman" w:hAnsi="Times New Roman"/>
          <w:sz w:val="24"/>
          <w:szCs w:val="24"/>
        </w:rPr>
        <w:t xml:space="preserve"> and Motion Picture Laboratories each disclaim any warranty or representation as to the suitability of </w:t>
      </w:r>
      <w:r w:rsidR="00AE4AD2">
        <w:rPr>
          <w:rFonts w:ascii="Times New Roman" w:hAnsi="Times New Roman"/>
          <w:sz w:val="24"/>
          <w:szCs w:val="24"/>
        </w:rPr>
        <w:t>this specification</w:t>
      </w:r>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as a result of </w:t>
      </w:r>
      <w:r w:rsidR="00AE4AD2">
        <w:rPr>
          <w:rFonts w:ascii="Times New Roman" w:hAnsi="Times New Roman"/>
          <w:sz w:val="24"/>
          <w:szCs w:val="24"/>
        </w:rPr>
        <w:t>the use of this specification</w:t>
      </w:r>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Added CompanyDisplayCredit</w:t>
            </w:r>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Fixed RunLength cardinality in schema.</w:t>
            </w:r>
          </w:p>
        </w:tc>
      </w:tr>
      <w:tr w:rsidR="00D729F3" w14:paraId="413844F2" w14:textId="77777777" w:rsidTr="00651305">
        <w:tc>
          <w:tcPr>
            <w:tcW w:w="1278" w:type="dxa"/>
          </w:tcPr>
          <w:p w14:paraId="0E69987C" w14:textId="77777777" w:rsidR="00D729F3" w:rsidRDefault="00BA35AC" w:rsidP="00651305">
            <w:pPr>
              <w:jc w:val="left"/>
              <w:rPr>
                <w:rFonts w:ascii="Calibri" w:hAnsi="Calibri"/>
                <w:sz w:val="22"/>
                <w:szCs w:val="20"/>
              </w:rPr>
            </w:pPr>
            <w:r>
              <w:rPr>
                <w:rFonts w:ascii="Calibri" w:hAnsi="Calibri"/>
                <w:sz w:val="22"/>
                <w:szCs w:val="20"/>
              </w:rPr>
              <w:t>2.2</w:t>
            </w:r>
          </w:p>
        </w:tc>
        <w:tc>
          <w:tcPr>
            <w:tcW w:w="2077" w:type="dxa"/>
          </w:tcPr>
          <w:p w14:paraId="040B7776" w14:textId="505434CA" w:rsidR="00D729F3" w:rsidRPr="00F33494" w:rsidRDefault="00F33494" w:rsidP="00984D6F">
            <w:pPr>
              <w:jc w:val="left"/>
              <w:rPr>
                <w:rFonts w:ascii="Calibri" w:hAnsi="Calibri"/>
                <w:sz w:val="22"/>
                <w:szCs w:val="20"/>
              </w:rPr>
            </w:pPr>
            <w:r w:rsidRPr="00F33494">
              <w:rPr>
                <w:rFonts w:ascii="Calibri" w:hAnsi="Calibri"/>
                <w:sz w:val="22"/>
                <w:szCs w:val="20"/>
              </w:rPr>
              <w:t>November 15, 2016</w:t>
            </w:r>
          </w:p>
        </w:tc>
        <w:tc>
          <w:tcPr>
            <w:tcW w:w="5490" w:type="dxa"/>
          </w:tcPr>
          <w:p w14:paraId="46F29600" w14:textId="77777777" w:rsidR="00BA35AC" w:rsidRDefault="00BA35AC" w:rsidP="00A70E99">
            <w:pPr>
              <w:spacing w:after="60"/>
              <w:jc w:val="left"/>
              <w:rPr>
                <w:rFonts w:ascii="Calibri" w:hAnsi="Calibri"/>
                <w:sz w:val="22"/>
                <w:szCs w:val="20"/>
              </w:rPr>
            </w:pPr>
            <w:r>
              <w:rPr>
                <w:rFonts w:ascii="Calibri" w:hAnsi="Calibri"/>
                <w:sz w:val="22"/>
                <w:szCs w:val="20"/>
              </w:rPr>
              <w:t>Co-release with Excel Avails v1.7</w:t>
            </w:r>
          </w:p>
          <w:p w14:paraId="63715750" w14:textId="77777777" w:rsidR="006F374F" w:rsidRDefault="006F374F" w:rsidP="00A70E99">
            <w:pPr>
              <w:spacing w:after="60"/>
              <w:jc w:val="left"/>
              <w:rPr>
                <w:rFonts w:ascii="Calibri" w:hAnsi="Calibri"/>
                <w:sz w:val="22"/>
                <w:szCs w:val="20"/>
              </w:rPr>
            </w:pPr>
            <w:r>
              <w:rPr>
                <w:rFonts w:ascii="Calibri" w:hAnsi="Calibri"/>
                <w:sz w:val="22"/>
                <w:szCs w:val="20"/>
              </w:rPr>
              <w:t>Added support for Bundles (BundledAsset)</w:t>
            </w:r>
          </w:p>
          <w:p w14:paraId="0E2F85B0" w14:textId="33A29800" w:rsidR="001E7132" w:rsidRDefault="001E7132" w:rsidP="00A70E99">
            <w:pPr>
              <w:spacing w:after="60"/>
              <w:jc w:val="left"/>
              <w:rPr>
                <w:rFonts w:ascii="Calibri" w:hAnsi="Calibri"/>
                <w:sz w:val="22"/>
                <w:szCs w:val="20"/>
              </w:rPr>
            </w:pPr>
            <w:r>
              <w:rPr>
                <w:rFonts w:ascii="Calibri" w:hAnsi="Calibri"/>
                <w:sz w:val="22"/>
                <w:szCs w:val="20"/>
              </w:rPr>
              <w:t>FormatProfile:  Added UHD profile; and added</w:t>
            </w:r>
            <w:r w:rsidR="00836FB7">
              <w:rPr>
                <w:rFonts w:ascii="Calibri" w:hAnsi="Calibri"/>
                <w:sz w:val="22"/>
                <w:szCs w:val="20"/>
              </w:rPr>
              <w:t xml:space="preserve"> </w:t>
            </w:r>
            <w:r>
              <w:rPr>
                <w:rFonts w:ascii="Calibri" w:hAnsi="Calibri"/>
                <w:sz w:val="22"/>
                <w:szCs w:val="20"/>
              </w:rPr>
              <w:t>HDR, WCG and HFR attributes</w:t>
            </w:r>
          </w:p>
          <w:p w14:paraId="706ADF81" w14:textId="2891D3CC" w:rsidR="006F4C26" w:rsidRDefault="001E7132" w:rsidP="00A70E99">
            <w:pPr>
              <w:spacing w:after="60"/>
              <w:jc w:val="left"/>
              <w:rPr>
                <w:rFonts w:ascii="Calibri" w:hAnsi="Calibri"/>
                <w:sz w:val="22"/>
                <w:szCs w:val="20"/>
              </w:rPr>
            </w:pPr>
            <w:r>
              <w:rPr>
                <w:rFonts w:ascii="Calibri" w:hAnsi="Calibri"/>
                <w:sz w:val="22"/>
                <w:szCs w:val="20"/>
              </w:rPr>
              <w:lastRenderedPageBreak/>
              <w:t xml:space="preserve">Revised language handling: Replaced StoreLanguage, with AssetLanguage, replaced HoldbackExclusionLanuage with AllowedLanguages, </w:t>
            </w:r>
            <w:r w:rsidR="00642205">
              <w:rPr>
                <w:rFonts w:ascii="Calibri" w:hAnsi="Calibri"/>
                <w:sz w:val="22"/>
                <w:szCs w:val="20"/>
              </w:rPr>
              <w:t>added</w:t>
            </w:r>
            <w:r>
              <w:rPr>
                <w:rFonts w:ascii="Calibri" w:hAnsi="Calibri"/>
                <w:sz w:val="22"/>
                <w:szCs w:val="20"/>
              </w:rPr>
              <w:t xml:space="preserve"> HoldbackLanguage include asset type</w:t>
            </w:r>
            <w:r w:rsidR="00642205">
              <w:rPr>
                <w:rFonts w:ascii="Calibri" w:hAnsi="Calibri"/>
                <w:sz w:val="22"/>
                <w:szCs w:val="20"/>
              </w:rPr>
              <w:t xml:space="preserve"> attribute</w:t>
            </w:r>
            <w:r>
              <w:rPr>
                <w:rFonts w:ascii="Calibri" w:hAnsi="Calibri"/>
                <w:sz w:val="22"/>
                <w:szCs w:val="20"/>
              </w:rPr>
              <w:t>, removed Holdback Terms.</w:t>
            </w:r>
          </w:p>
          <w:p w14:paraId="7D770AED" w14:textId="14F72D7D" w:rsidR="006F4C26" w:rsidRDefault="006F4C26" w:rsidP="00A70E99">
            <w:pPr>
              <w:spacing w:after="60"/>
              <w:jc w:val="left"/>
              <w:rPr>
                <w:rFonts w:ascii="Calibri" w:hAnsi="Calibri"/>
                <w:sz w:val="22"/>
                <w:szCs w:val="20"/>
              </w:rPr>
            </w:pPr>
            <w:r>
              <w:rPr>
                <w:rFonts w:ascii="Calibri" w:hAnsi="Calibri"/>
                <w:sz w:val="22"/>
                <w:szCs w:val="20"/>
              </w:rPr>
              <w:t>Simplified LIcenseRightsDescription to “Next Day TV” and “POD” (Publish on Delivery).</w:t>
            </w:r>
          </w:p>
          <w:p w14:paraId="3722B961" w14:textId="77777777" w:rsidR="001E7132" w:rsidRDefault="001E7132" w:rsidP="00A70E99">
            <w:pPr>
              <w:spacing w:after="60"/>
              <w:jc w:val="left"/>
              <w:rPr>
                <w:rFonts w:ascii="Calibri" w:hAnsi="Calibri"/>
                <w:sz w:val="22"/>
                <w:szCs w:val="20"/>
              </w:rPr>
            </w:pPr>
            <w:r>
              <w:rPr>
                <w:rFonts w:ascii="Calibri" w:hAnsi="Calibri"/>
                <w:sz w:val="22"/>
                <w:szCs w:val="20"/>
              </w:rPr>
              <w:t>Added Region term type.</w:t>
            </w:r>
          </w:p>
          <w:p w14:paraId="4A2EA2A4" w14:textId="2065476D" w:rsidR="001E7132" w:rsidRDefault="00642205" w:rsidP="00A70E99">
            <w:pPr>
              <w:spacing w:after="60"/>
              <w:jc w:val="left"/>
              <w:rPr>
                <w:rFonts w:ascii="Calibri" w:hAnsi="Calibri"/>
                <w:sz w:val="22"/>
                <w:szCs w:val="20"/>
              </w:rPr>
            </w:pPr>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Bundled</w:t>
            </w:r>
            <w:r>
              <w:rPr>
                <w:rFonts w:ascii="Calibri" w:hAnsi="Calibri"/>
                <w:sz w:val="22"/>
                <w:szCs w:val="20"/>
              </w:rPr>
              <w:t xml:space="preserve"> (not sold separately)</w:t>
            </w:r>
            <w:r w:rsidR="00A70E99">
              <w:rPr>
                <w:rFonts w:ascii="Calibri" w:hAnsi="Calibri"/>
                <w:sz w:val="22"/>
                <w:szCs w:val="20"/>
              </w:rPr>
              <w:t xml:space="preserve"> and LicenseFee</w:t>
            </w:r>
            <w:r w:rsidR="001E7132">
              <w:rPr>
                <w:rFonts w:ascii="Calibri" w:hAnsi="Calibri"/>
                <w:sz w:val="22"/>
                <w:szCs w:val="20"/>
              </w:rPr>
              <w:t xml:space="preserve"> terms.</w:t>
            </w:r>
          </w:p>
          <w:p w14:paraId="7A2256B3" w14:textId="77777777" w:rsidR="00642205" w:rsidRDefault="00642205" w:rsidP="00A70E99">
            <w:pPr>
              <w:spacing w:after="60"/>
              <w:jc w:val="left"/>
              <w:rPr>
                <w:rFonts w:ascii="Calibri" w:hAnsi="Calibri"/>
                <w:sz w:val="22"/>
                <w:szCs w:val="20"/>
              </w:rPr>
            </w:pPr>
            <w:r>
              <w:rPr>
                <w:rFonts w:ascii="Calibri" w:hAnsi="Calibri"/>
                <w:sz w:val="22"/>
                <w:szCs w:val="20"/>
              </w:rPr>
              <w:t>Added ReportingID for future use.</w:t>
            </w:r>
          </w:p>
          <w:p w14:paraId="12650B2A" w14:textId="27224663" w:rsidR="00581799" w:rsidRDefault="002B5616" w:rsidP="00A70E99">
            <w:pPr>
              <w:spacing w:after="60"/>
              <w:jc w:val="left"/>
              <w:rPr>
                <w:rFonts w:ascii="Calibri" w:hAnsi="Calibri"/>
                <w:sz w:val="22"/>
                <w:szCs w:val="20"/>
              </w:rPr>
            </w:pPr>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epreciated EcosystemID</w:t>
            </w:r>
            <w:r w:rsidR="007624DE">
              <w:rPr>
                <w:rFonts w:ascii="Calibri" w:hAnsi="Calibri"/>
                <w:sz w:val="22"/>
                <w:szCs w:val="20"/>
              </w:rPr>
              <w:t>s</w:t>
            </w:r>
          </w:p>
          <w:p w14:paraId="496A00BB" w14:textId="12DC63FA" w:rsidR="007624DE" w:rsidRDefault="00FC5D29" w:rsidP="00A70E99">
            <w:pPr>
              <w:spacing w:after="60"/>
              <w:jc w:val="left"/>
              <w:rPr>
                <w:rFonts w:ascii="Calibri" w:hAnsi="Calibri"/>
                <w:sz w:val="22"/>
                <w:szCs w:val="20"/>
              </w:rPr>
            </w:pPr>
            <w:r>
              <w:rPr>
                <w:rFonts w:ascii="Calibri" w:hAnsi="Calibri"/>
                <w:sz w:val="22"/>
                <w:szCs w:val="20"/>
              </w:rPr>
              <w:t xml:space="preserve">Clarified date terms. </w:t>
            </w:r>
            <w:r w:rsidR="007624DE">
              <w:rPr>
                <w:rFonts w:ascii="Calibri" w:hAnsi="Calibri"/>
                <w:sz w:val="22"/>
                <w:szCs w:val="20"/>
              </w:rPr>
              <w:t>Added ESTStart as an EndCondition</w:t>
            </w:r>
          </w:p>
          <w:p w14:paraId="02AAE1CD" w14:textId="77777777" w:rsidR="00C943A1" w:rsidRDefault="00C943A1" w:rsidP="00A70E99">
            <w:pPr>
              <w:spacing w:after="60"/>
              <w:jc w:val="left"/>
              <w:rPr>
                <w:rFonts w:ascii="Calibri" w:hAnsi="Calibri"/>
                <w:sz w:val="22"/>
                <w:szCs w:val="20"/>
              </w:rPr>
            </w:pPr>
            <w:r>
              <w:rPr>
                <w:rFonts w:ascii="Calibri" w:hAnsi="Calibri"/>
                <w:sz w:val="22"/>
                <w:szCs w:val="20"/>
              </w:rPr>
              <w:t>Made optional:</w:t>
            </w:r>
          </w:p>
          <w:p w14:paraId="70A51D1B" w14:textId="77777777" w:rsidR="00C943A1" w:rsidRPr="00C943A1" w:rsidRDefault="00581799" w:rsidP="00A70E99">
            <w:pPr>
              <w:pStyle w:val="ListParagraph"/>
              <w:numPr>
                <w:ilvl w:val="0"/>
                <w:numId w:val="16"/>
              </w:numPr>
              <w:spacing w:after="60"/>
              <w:rPr>
                <w:sz w:val="22"/>
              </w:rPr>
            </w:pPr>
            <w:r w:rsidRPr="00C943A1">
              <w:rPr>
                <w:sz w:val="22"/>
              </w:rPr>
              <w:t>TitleDisplayUnlimited, SeasonTitleDisplayUnlimited and SeriesTitle</w:t>
            </w:r>
            <w:r w:rsidR="00C943A1" w:rsidRPr="00C943A1">
              <w:rPr>
                <w:sz w:val="22"/>
              </w:rPr>
              <w:t>DisplayUnlimited</w:t>
            </w:r>
          </w:p>
          <w:p w14:paraId="095A9864" w14:textId="77777777" w:rsidR="00C943A1" w:rsidRDefault="00C943A1" w:rsidP="00A70E99">
            <w:pPr>
              <w:pStyle w:val="ListParagraph"/>
              <w:numPr>
                <w:ilvl w:val="0"/>
                <w:numId w:val="16"/>
              </w:numPr>
              <w:spacing w:after="60"/>
              <w:rPr>
                <w:sz w:val="22"/>
              </w:rPr>
            </w:pPr>
            <w:r w:rsidRPr="00C943A1">
              <w:rPr>
                <w:sz w:val="22"/>
              </w:rPr>
              <w:t>Terms/Description</w:t>
            </w:r>
          </w:p>
          <w:p w14:paraId="7394D704" w14:textId="77777777" w:rsidR="00F573F2" w:rsidRDefault="00F573F2" w:rsidP="00A70E99">
            <w:pPr>
              <w:spacing w:after="60"/>
              <w:jc w:val="left"/>
              <w:rPr>
                <w:rFonts w:ascii="Calibri" w:hAnsi="Calibri"/>
                <w:sz w:val="22"/>
                <w:szCs w:val="20"/>
              </w:rPr>
            </w:pPr>
            <w:r w:rsidRPr="00F573F2">
              <w:rPr>
                <w:rFonts w:ascii="Calibri" w:hAnsi="Calibri"/>
                <w:sz w:val="22"/>
                <w:szCs w:val="20"/>
              </w:rPr>
              <w:t>Fixed ratings cardinality in spec (was correct in schema)</w:t>
            </w:r>
          </w:p>
          <w:p w14:paraId="3009B87A" w14:textId="77777777" w:rsidR="006515DC" w:rsidRDefault="006515DC" w:rsidP="00A70E99">
            <w:pPr>
              <w:spacing w:after="60"/>
              <w:jc w:val="left"/>
              <w:rPr>
                <w:rFonts w:ascii="Calibri" w:hAnsi="Calibri"/>
                <w:sz w:val="22"/>
                <w:szCs w:val="20"/>
              </w:rPr>
            </w:pPr>
            <w:r>
              <w:rPr>
                <w:rFonts w:ascii="Calibri" w:hAnsi="Calibri"/>
                <w:sz w:val="22"/>
                <w:szCs w:val="20"/>
              </w:rPr>
              <w:t xml:space="preserve">Added support for </w:t>
            </w:r>
            <w:r w:rsidR="00F62B8B">
              <w:rPr>
                <w:rFonts w:ascii="Calibri" w:hAnsi="Calibri"/>
                <w:sz w:val="22"/>
                <w:szCs w:val="20"/>
              </w:rPr>
              <w:t>separately availed supplemental and promotion including AvailType values and Transaction/RefALID.  Note that supplemental and promotion can also be included in an Avail through Asset instances.</w:t>
            </w:r>
          </w:p>
          <w:p w14:paraId="7FF6FC41" w14:textId="77777777" w:rsidR="00C2171E" w:rsidRPr="00F573F2" w:rsidRDefault="00C2171E" w:rsidP="00A70E99">
            <w:pPr>
              <w:spacing w:after="60"/>
              <w:jc w:val="left"/>
              <w:rPr>
                <w:sz w:val="22"/>
              </w:rPr>
            </w:pPr>
            <w:r w:rsidRPr="002B5616">
              <w:rPr>
                <w:rFonts w:ascii="Calibri" w:hAnsi="Calibri"/>
                <w:sz w:val="22"/>
                <w:szCs w:val="20"/>
              </w:rPr>
              <w:t>Added USACaptionsExceptionsReason, ReleaseHistory and Ratings to Series and Season metadata. This is used when a series (miniseries) or season are avail’d and this information is needed.</w:t>
            </w:r>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1" w:name="_Toc432473465"/>
      <w:bookmarkStart w:id="2" w:name="_Ref224124414"/>
      <w:bookmarkStart w:id="3" w:name="_Ref224530607"/>
      <w:bookmarkStart w:id="4" w:name="_Toc467013476"/>
      <w:r>
        <w:lastRenderedPageBreak/>
        <w:t>Introduction</w:t>
      </w:r>
      <w:bookmarkEnd w:id="1"/>
      <w:bookmarkEnd w:id="4"/>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and also Common Metadata developed by Motion Picture Laboratories, EMA, DEG and others.  </w:t>
      </w:r>
    </w:p>
    <w:p w14:paraId="797FBCF6" w14:textId="77777777" w:rsidR="00E87D1B" w:rsidRDefault="00E87D1B" w:rsidP="00C13FCE">
      <w:pPr>
        <w:pStyle w:val="Heading2"/>
      </w:pPr>
      <w:bookmarkStart w:id="5" w:name="_Toc241389372"/>
      <w:bookmarkStart w:id="6" w:name="_Toc241389373"/>
      <w:bookmarkStart w:id="7" w:name="_Toc241389374"/>
      <w:bookmarkStart w:id="8" w:name="_Toc241389375"/>
      <w:bookmarkStart w:id="9" w:name="_Toc241389376"/>
      <w:bookmarkStart w:id="10" w:name="_Toc241389377"/>
      <w:bookmarkStart w:id="11" w:name="_Toc241389378"/>
      <w:bookmarkStart w:id="12" w:name="_Toc241389379"/>
      <w:bookmarkStart w:id="13" w:name="_Toc241389380"/>
      <w:bookmarkStart w:id="14" w:name="_Toc241389381"/>
      <w:bookmarkStart w:id="15" w:name="_Toc236406159"/>
      <w:bookmarkStart w:id="16" w:name="_Toc432473466"/>
      <w:bookmarkStart w:id="17" w:name="_Toc467013477"/>
      <w:bookmarkEnd w:id="5"/>
      <w:bookmarkEnd w:id="6"/>
      <w:bookmarkEnd w:id="7"/>
      <w:bookmarkEnd w:id="8"/>
      <w:bookmarkEnd w:id="9"/>
      <w:bookmarkEnd w:id="10"/>
      <w:bookmarkEnd w:id="11"/>
      <w:bookmarkEnd w:id="12"/>
      <w:bookmarkEnd w:id="13"/>
      <w:bookmarkEnd w:id="14"/>
      <w:r>
        <w:t>Document Organization</w:t>
      </w:r>
      <w:bookmarkEnd w:id="15"/>
      <w:bookmarkEnd w:id="16"/>
      <w:bookmarkEnd w:id="17"/>
    </w:p>
    <w:p w14:paraId="348119C3" w14:textId="77777777" w:rsidR="00EC0F69" w:rsidRDefault="00EC0F69" w:rsidP="00EC0F69">
      <w:pPr>
        <w:pStyle w:val="Body"/>
      </w:pPr>
      <w:bookmarkStart w:id="18"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19" w:name="_Toc432473467"/>
      <w:bookmarkStart w:id="20" w:name="_Toc467013478"/>
      <w:r>
        <w:t>Document Notation and Conventions</w:t>
      </w:r>
      <w:bookmarkEnd w:id="18"/>
      <w:bookmarkEnd w:id="19"/>
      <w:bookmarkEnd w:id="20"/>
    </w:p>
    <w:p w14:paraId="7A6983E8" w14:textId="77777777" w:rsidR="00E87D1B" w:rsidRPr="00377A5D" w:rsidRDefault="00E87D1B" w:rsidP="00377A5D">
      <w:pPr>
        <w:pStyle w:val="Heading3"/>
      </w:pPr>
      <w:bookmarkStart w:id="21" w:name="_Toc247703963"/>
      <w:bookmarkStart w:id="22" w:name="_Toc247703964"/>
      <w:bookmarkStart w:id="23" w:name="_Toc247703965"/>
      <w:bookmarkStart w:id="24" w:name="_Toc247703966"/>
      <w:bookmarkStart w:id="25" w:name="_Toc247703967"/>
      <w:bookmarkStart w:id="26" w:name="_Toc247703968"/>
      <w:bookmarkStart w:id="27" w:name="_Toc247703969"/>
      <w:bookmarkStart w:id="28" w:name="_Toc247703970"/>
      <w:bookmarkStart w:id="29" w:name="_Toc233133758"/>
      <w:bookmarkStart w:id="30" w:name="_Toc236406161"/>
      <w:bookmarkStart w:id="31" w:name="_Toc432473468"/>
      <w:bookmarkStart w:id="32" w:name="_Toc467013479"/>
      <w:bookmarkEnd w:id="21"/>
      <w:bookmarkEnd w:id="22"/>
      <w:bookmarkEnd w:id="23"/>
      <w:bookmarkEnd w:id="24"/>
      <w:bookmarkEnd w:id="25"/>
      <w:bookmarkEnd w:id="26"/>
      <w:bookmarkEnd w:id="27"/>
      <w:bookmarkEnd w:id="28"/>
      <w:bookmarkEnd w:id="29"/>
      <w:r w:rsidRPr="00377A5D">
        <w:t>XML Conventions</w:t>
      </w:r>
      <w:bookmarkEnd w:id="30"/>
      <w:bookmarkEnd w:id="31"/>
      <w:bookmarkEnd w:id="32"/>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33" w:name="_Toc225581307"/>
      <w:r w:rsidRPr="00377A5D">
        <w:t>Naming Conventions</w:t>
      </w:r>
      <w:bookmarkEnd w:id="33"/>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Names use initial caps, as in InitialCaps.</w:t>
      </w:r>
    </w:p>
    <w:p w14:paraId="4CC3DDA3" w14:textId="77777777" w:rsidR="00E87D1B" w:rsidRDefault="00E87D1B" w:rsidP="00360672">
      <w:pPr>
        <w:pStyle w:val="Body"/>
        <w:numPr>
          <w:ilvl w:val="0"/>
          <w:numId w:val="5"/>
        </w:numPr>
      </w:pPr>
      <w:r>
        <w:lastRenderedPageBreak/>
        <w:t>Elements begin with a capital letter, as in InitialCapitalElement.</w:t>
      </w:r>
    </w:p>
    <w:p w14:paraId="111A8EC9" w14:textId="77777777" w:rsidR="00E87D1B" w:rsidRDefault="00E87D1B" w:rsidP="00360672">
      <w:pPr>
        <w:pStyle w:val="Body"/>
        <w:numPr>
          <w:ilvl w:val="0"/>
          <w:numId w:val="5"/>
        </w:numPr>
      </w:pPr>
      <w:r>
        <w:t xml:space="preserve">Attributes begin with a lowercase letter, as in </w:t>
      </w:r>
      <w:r w:rsidR="006224E6">
        <w:t>i</w:t>
      </w:r>
      <w:r>
        <w:t>nitiaLowercaseAttribute.</w:t>
      </w:r>
    </w:p>
    <w:p w14:paraId="42E45CF5" w14:textId="77777777" w:rsidR="00E87D1B" w:rsidRDefault="00E87D1B" w:rsidP="00360672">
      <w:pPr>
        <w:pStyle w:val="Body"/>
        <w:numPr>
          <w:ilvl w:val="0"/>
          <w:numId w:val="5"/>
        </w:numPr>
      </w:pPr>
      <w:r>
        <w:t xml:space="preserve">XML structures are formatted as Courier New, such as </w:t>
      </w:r>
      <w:r>
        <w:rPr>
          <w:rStyle w:val="XMLChar"/>
        </w:rPr>
        <w:t>md:</w:t>
      </w:r>
      <w:r w:rsidRPr="001D3354">
        <w:rPr>
          <w:rStyle w:val="XMLChar"/>
        </w:rPr>
        <w:t>rightstoken</w:t>
      </w:r>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34" w:name="_Toc225581308"/>
      <w:r w:rsidRPr="00377A5D">
        <w:t>Structure of Element Table</w:t>
      </w:r>
      <w:bookmarkEnd w:id="34"/>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r w:rsidR="00C03B2E">
        <w:t>.</w:t>
      </w:r>
    </w:p>
    <w:p w14:paraId="5B0728FB" w14:textId="77777777" w:rsidR="00E87D1B" w:rsidRDefault="00E87D1B" w:rsidP="00360672">
      <w:pPr>
        <w:pStyle w:val="Body"/>
        <w:numPr>
          <w:ilvl w:val="0"/>
          <w:numId w:val="6"/>
        </w:numPr>
      </w:pPr>
      <w:r>
        <w:t>Card—cardinality of the element.  If blank, then it is 1.  Other typical values are 0..1 (optional), 1..n and 0..n.</w:t>
      </w:r>
    </w:p>
    <w:p w14:paraId="3CBBFFD9" w14:textId="77777777" w:rsidR="00FC58E5" w:rsidRDefault="00FC58E5" w:rsidP="00FC58E5">
      <w:pPr>
        <w:pStyle w:val="Body"/>
      </w:pPr>
      <w:r>
        <w:t>The first row of the table after the header is the element being defined.  This is immediately followed by attributes of this element, if any.  Subsequent rows are child elements and their attributes.  All child elements (i.e., those that are direct descendents) are included in the table.  Simple child elements may be fully defined here (e.g., “</w:t>
      </w:r>
      <w:r w:rsidRPr="00C03B2E">
        <w:rPr>
          <w:rFonts w:ascii="Arial Narrow" w:hAnsi="Arial Narrow"/>
        </w:rPr>
        <w:t>Title</w:t>
      </w:r>
      <w:r>
        <w:t>”, “  ”, “</w:t>
      </w:r>
      <w:r w:rsidRPr="00C03B2E">
        <w:rPr>
          <w:rFonts w:ascii="Arial Narrow" w:hAnsi="Arial Narrow"/>
        </w:rPr>
        <w:t>Title of work</w:t>
      </w:r>
      <w:r>
        <w:t>”, “</w:t>
      </w:r>
      <w:r w:rsidRPr="00C03B2E">
        <w:rPr>
          <w:rFonts w:ascii="Arial Narrow" w:hAnsi="Arial Narrow"/>
        </w:rPr>
        <w:t>xs:string</w:t>
      </w:r>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r w:rsidRPr="00C03B2E">
        <w:rPr>
          <w:rFonts w:ascii="Arial Narrow" w:hAnsi="Arial Narrow"/>
        </w:rPr>
        <w:t>md:ContactInfo-type</w:t>
      </w:r>
      <w:r>
        <w:t xml:space="preserve">”).  In this example, if POC was to be defined by a complex type defined as </w:t>
      </w:r>
      <w:r w:rsidRPr="00C03B2E">
        <w:rPr>
          <w:rFonts w:ascii="Arial Narrow" w:hAnsi="Arial Narrow"/>
        </w:rPr>
        <w:t>md:ContactInfo-type</w:t>
      </w:r>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35" w:name="_Toc236406162"/>
      <w:bookmarkStart w:id="36" w:name="_Toc432473469"/>
      <w:bookmarkStart w:id="37" w:name="_Toc467013480"/>
      <w:r w:rsidRPr="00377A5D">
        <w:t>General Notes</w:t>
      </w:r>
      <w:bookmarkEnd w:id="35"/>
      <w:bookmarkEnd w:id="36"/>
      <w:bookmarkEnd w:id="37"/>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38" w:name="_Toc247703973"/>
      <w:bookmarkStart w:id="39" w:name="_Toc236406163"/>
      <w:bookmarkStart w:id="40" w:name="_Toc303002227"/>
      <w:bookmarkStart w:id="41" w:name="_Toc432473470"/>
      <w:bookmarkStart w:id="42" w:name="_Toc467013481"/>
      <w:bookmarkEnd w:id="38"/>
      <w:r>
        <w:lastRenderedPageBreak/>
        <w:t>Normative References</w:t>
      </w:r>
      <w:bookmarkEnd w:id="39"/>
      <w:bookmarkEnd w:id="40"/>
      <w:bookmarkEnd w:id="41"/>
      <w:bookmarkEnd w:id="42"/>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Subtag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April 2008.</w:t>
      </w:r>
      <w:bookmarkStart w:id="43" w:name="_Toc236406164"/>
      <w:bookmarkStart w:id="44" w:name="_Toc303002228"/>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45" w:name="_Toc432473471"/>
      <w:bookmarkStart w:id="46" w:name="_Toc467013482"/>
      <w:r>
        <w:lastRenderedPageBreak/>
        <w:t>Informative References</w:t>
      </w:r>
      <w:bookmarkEnd w:id="43"/>
      <w:bookmarkEnd w:id="44"/>
      <w:bookmarkEnd w:id="45"/>
      <w:bookmarkEnd w:id="46"/>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47" w:name="_Toc432473472"/>
      <w:bookmarkStart w:id="48" w:name="_Toc467013483"/>
      <w:r>
        <w:t>XML Namespaces</w:t>
      </w:r>
      <w:bookmarkEnd w:id="47"/>
      <w:bookmarkEnd w:id="48"/>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r>
        <w:t>mdmec</w:t>
      </w:r>
      <w:r w:rsidR="0097443E">
        <w:t>:</w:t>
      </w:r>
      <w:r w:rsidR="00EC0F69">
        <w:t xml:space="preserve"> </w:t>
      </w:r>
      <w:r>
        <w:t>Media Entertainment</w:t>
      </w:r>
      <w:r w:rsidR="00EC0F69">
        <w:t xml:space="preserve"> Core </w:t>
      </w:r>
      <w:r>
        <w:t>Metadata</w:t>
      </w:r>
      <w:r w:rsidR="00EC0F69">
        <w:t xml:space="preserve">.  Note that </w:t>
      </w:r>
      <w:r>
        <w:t>mdmec</w:t>
      </w:r>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r w:rsidR="004D5A72">
        <w:t>mdmec</w:t>
      </w:r>
      <w:r>
        <w:t>: schemas</w:t>
      </w:r>
    </w:p>
    <w:p w14:paraId="16B17CFA" w14:textId="77777777" w:rsidR="009C70E5" w:rsidRDefault="009C70E5" w:rsidP="009C70E5">
      <w:pPr>
        <w:pStyle w:val="Heading2"/>
      </w:pPr>
      <w:bookmarkStart w:id="49" w:name="_Toc240182928"/>
      <w:bookmarkStart w:id="50" w:name="_Toc249809044"/>
      <w:bookmarkStart w:id="51" w:name="_Ref250386021"/>
      <w:bookmarkStart w:id="52" w:name="_Ref250392056"/>
      <w:bookmarkStart w:id="53" w:name="_Ref250392057"/>
      <w:bookmarkStart w:id="54" w:name="_Ref250392072"/>
      <w:bookmarkStart w:id="55" w:name="_Ref250392089"/>
      <w:bookmarkStart w:id="56" w:name="_Ref250447790"/>
      <w:bookmarkStart w:id="57" w:name="_Toc432473473"/>
      <w:bookmarkStart w:id="58" w:name="_Toc467013484"/>
      <w:r>
        <w:t>Identifiers</w:t>
      </w:r>
      <w:bookmarkStart w:id="59" w:name="_Toc240182929"/>
      <w:bookmarkEnd w:id="49"/>
      <w:bookmarkEnd w:id="50"/>
      <w:bookmarkEnd w:id="51"/>
      <w:bookmarkEnd w:id="52"/>
      <w:bookmarkEnd w:id="53"/>
      <w:bookmarkEnd w:id="54"/>
      <w:bookmarkEnd w:id="55"/>
      <w:bookmarkEnd w:id="56"/>
      <w:bookmarkEnd w:id="57"/>
      <w:bookmarkEnd w:id="58"/>
    </w:p>
    <w:bookmarkEnd w:id="59"/>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60" w:name="_Toc235960647"/>
      <w:bookmarkStart w:id="61" w:name="_Toc235960648"/>
      <w:bookmarkStart w:id="62" w:name="_Toc235960649"/>
      <w:bookmarkStart w:id="63" w:name="_Toc235960650"/>
      <w:bookmarkStart w:id="64" w:name="_Toc235960651"/>
      <w:bookmarkStart w:id="65" w:name="_Toc235960652"/>
      <w:bookmarkStart w:id="66" w:name="_Toc235960653"/>
      <w:bookmarkStart w:id="67" w:name="_Toc235960654"/>
      <w:bookmarkStart w:id="68" w:name="_Toc235960660"/>
      <w:bookmarkStart w:id="69" w:name="_Toc235960664"/>
      <w:bookmarkStart w:id="70" w:name="_Toc235960665"/>
      <w:bookmarkStart w:id="71" w:name="_Toc235960667"/>
      <w:bookmarkStart w:id="72" w:name="_Toc235960680"/>
      <w:bookmarkStart w:id="73" w:name="_Toc235960710"/>
      <w:bookmarkStart w:id="74" w:name="_Toc235960712"/>
      <w:bookmarkStart w:id="75" w:name="_Toc235960725"/>
      <w:bookmarkStart w:id="76" w:name="_Toc235960731"/>
      <w:bookmarkStart w:id="77" w:name="_Toc235960755"/>
      <w:bookmarkStart w:id="78" w:name="_Toc235960784"/>
      <w:bookmarkStart w:id="79" w:name="_Toc432473474"/>
      <w:bookmarkStart w:id="80" w:name="_Toc46701348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Status</w:t>
      </w:r>
      <w:bookmarkEnd w:id="79"/>
      <w:bookmarkEnd w:id="80"/>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81" w:name="_Ref413941267"/>
      <w:bookmarkStart w:id="82" w:name="_Toc432473475"/>
      <w:bookmarkStart w:id="83" w:name="_Toc467013486"/>
      <w:r>
        <w:t>Date and Time encoding</w:t>
      </w:r>
      <w:bookmarkEnd w:id="81"/>
      <w:bookmarkEnd w:id="82"/>
      <w:bookmarkEnd w:id="83"/>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84" w:name="_Toc235960638"/>
      <w:bookmarkStart w:id="85" w:name="_Toc244596718"/>
      <w:bookmarkStart w:id="86" w:name="_Toc244938985"/>
      <w:bookmarkStart w:id="87" w:name="_Toc245117632"/>
      <w:bookmarkEnd w:id="84"/>
      <w:bookmarkEnd w:id="85"/>
      <w:bookmarkEnd w:id="86"/>
      <w:bookmarkEnd w:id="87"/>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a condition can be specified (e.g., StartCondition and EndCondition).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pPr>
      <w:r>
        <w:t>‘ESTStart’ – End Date is the StartDate of the EST offering.</w:t>
      </w:r>
    </w:p>
    <w:p w14:paraId="1B2388C5" w14:textId="77777777" w:rsidR="00EA3DE5" w:rsidRDefault="00EA3DE5" w:rsidP="00EA3DE5">
      <w:pPr>
        <w:pStyle w:val="Body"/>
        <w:numPr>
          <w:ilvl w:val="1"/>
          <w:numId w:val="8"/>
        </w:numPr>
      </w:pPr>
      <w:r>
        <w:t>Only applies to EndCondition</w:t>
      </w:r>
    </w:p>
    <w:p w14:paraId="3D42BD4B" w14:textId="77777777" w:rsidR="00EA3DE5" w:rsidRDefault="00EA3DE5" w:rsidP="00EA3DE5">
      <w:pPr>
        <w:pStyle w:val="Body"/>
        <w:numPr>
          <w:ilvl w:val="1"/>
          <w:numId w:val="8"/>
        </w:numPr>
      </w:pPr>
      <w:r>
        <w:t>There must exist a Transaction instance with LicenseType=‘EST’ in identical territories.</w:t>
      </w:r>
    </w:p>
    <w:p w14:paraId="2B3677A7" w14:textId="1D64424C" w:rsidR="00F33494" w:rsidRDefault="00D222C5" w:rsidP="00F33494">
      <w:pPr>
        <w:pStyle w:val="Body"/>
      </w:pPr>
      <w:r>
        <w:t>A title can be</w:t>
      </w:r>
      <w:r w:rsidR="00892445">
        <w:t xml:space="preserve"> availed before </w:t>
      </w:r>
      <w:r>
        <w:t>start date is known by setting</w:t>
      </w:r>
      <w:r w:rsidR="00892445">
        <w:t xml:space="preserve"> StartCondition=‘Open’</w:t>
      </w:r>
      <w:r>
        <w:t>.  This is not a valid avail in the sense that the title cannot be offered until an actual date is provided.  An example of this usage is providing an avail for an episode before it is aired (i.e., air date is not known</w:t>
      </w:r>
      <w:r w:rsidR="00F33494">
        <w:t>). If</w:t>
      </w:r>
      <w:r>
        <w:t xml:space="preserve"> a title is availed, but the end date of the avail is not known, EndCondition=‘Open’ is used.  An example of this usage is a pre-order avail when street date is not known.</w:t>
      </w:r>
      <w:bookmarkStart w:id="88" w:name="_Toc432473476"/>
      <w:bookmarkStart w:id="89" w:name="_Toc236406199"/>
    </w:p>
    <w:p w14:paraId="65AA4A79" w14:textId="1740C79C" w:rsidR="00897FD3" w:rsidRDefault="0097443E" w:rsidP="00B227A6">
      <w:pPr>
        <w:pStyle w:val="Heading1"/>
      </w:pPr>
      <w:bookmarkStart w:id="90" w:name="_Toc467013487"/>
      <w:r>
        <w:lastRenderedPageBreak/>
        <w:t>Avail</w:t>
      </w:r>
      <w:r w:rsidR="00DB055A">
        <w:t xml:space="preserve"> </w:t>
      </w:r>
      <w:r w:rsidR="00617406">
        <w:t>Information</w:t>
      </w:r>
      <w:bookmarkEnd w:id="88"/>
      <w:bookmarkEnd w:id="90"/>
    </w:p>
    <w:p w14:paraId="50F80369" w14:textId="77777777" w:rsidR="0097443E" w:rsidRPr="008E739B" w:rsidRDefault="0097443E" w:rsidP="0097443E">
      <w:pPr>
        <w:pStyle w:val="Body"/>
      </w:pPr>
      <w:r>
        <w:t xml:space="preserve">The top level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AvailList</w:t>
      </w:r>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r w:rsidR="00973788" w:rsidRPr="00973788">
        <w:rPr>
          <w:rFonts w:ascii="Courier New" w:hAnsi="Courier New" w:cs="Courier New"/>
        </w:rPr>
        <w:t>AvailList-type</w:t>
      </w:r>
      <w:r w:rsidR="00973788">
        <w:t>.</w:t>
      </w:r>
    </w:p>
    <w:p w14:paraId="55A7ABDC" w14:textId="77777777" w:rsidR="0097443E" w:rsidRDefault="003B015E" w:rsidP="0097443E">
      <w:pPr>
        <w:pStyle w:val="Heading2"/>
      </w:pPr>
      <w:bookmarkStart w:id="91" w:name="_Toc340780650"/>
      <w:bookmarkStart w:id="92" w:name="_Toc432473477"/>
      <w:bookmarkStart w:id="93" w:name="_Toc467013488"/>
      <w:r>
        <w:t>Avail List</w:t>
      </w:r>
      <w:bookmarkEnd w:id="91"/>
      <w:bookmarkEnd w:id="92"/>
      <w:bookmarkEnd w:id="93"/>
    </w:p>
    <w:p w14:paraId="1C78F329" w14:textId="77777777" w:rsidR="003B015E" w:rsidRPr="003B015E" w:rsidRDefault="003B015E" w:rsidP="003B015E">
      <w:pPr>
        <w:pStyle w:val="Body"/>
      </w:pPr>
      <w:r>
        <w:t>An Avail List contains on or more Avials.</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r>
              <w:rPr>
                <w:b/>
              </w:rPr>
              <w:t>Avail</w:t>
            </w:r>
            <w:r w:rsidR="00973788">
              <w:rPr>
                <w:b/>
              </w:rPr>
              <w:t>List</w:t>
            </w:r>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r>
              <w:t>avails:</w:t>
            </w:r>
            <w:r w:rsidR="0097443E">
              <w:t>Avail</w:t>
            </w:r>
            <w:r>
              <w:t>List</w:t>
            </w:r>
            <w:r w:rsidR="0097443E">
              <w:t>-type</w:t>
            </w:r>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r>
              <w:rPr>
                <w:b/>
              </w:rPr>
              <w:t>AvailList-type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r>
              <w:t>avails:Avail-type</w:t>
            </w:r>
          </w:p>
        </w:tc>
        <w:tc>
          <w:tcPr>
            <w:tcW w:w="987" w:type="dxa"/>
          </w:tcPr>
          <w:p w14:paraId="683CC13E" w14:textId="77777777" w:rsidR="00973788" w:rsidRDefault="00973788" w:rsidP="003B015E">
            <w:pPr>
              <w:pStyle w:val="TableEntry"/>
            </w:pPr>
            <w:r>
              <w:t>1..n</w:t>
            </w:r>
          </w:p>
        </w:tc>
      </w:tr>
    </w:tbl>
    <w:p w14:paraId="6DCDD186" w14:textId="77777777" w:rsidR="0097443E" w:rsidRDefault="0097443E" w:rsidP="0097443E">
      <w:pPr>
        <w:pStyle w:val="Heading2"/>
      </w:pPr>
      <w:bookmarkStart w:id="94" w:name="_Toc340780652"/>
      <w:bookmarkStart w:id="95" w:name="_Toc432473478"/>
      <w:bookmarkStart w:id="96" w:name="_Toc467013489"/>
      <w:r>
        <w:t>Avail</w:t>
      </w:r>
      <w:bookmarkEnd w:id="94"/>
      <w:bookmarkEnd w:id="95"/>
      <w:bookmarkEnd w:id="96"/>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r>
              <w:t>avail:</w:t>
            </w:r>
            <w:r w:rsidR="003B015E">
              <w:t>Avail-type</w:t>
            </w:r>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r>
              <w:t>md:AssetLogicalID-type</w:t>
            </w:r>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r>
              <w:t>avails:AvailDisposition-type</w:t>
            </w:r>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r>
              <w:t>mdmec:Publisher-type</w:t>
            </w:r>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r>
              <w:lastRenderedPageBreak/>
              <w:t>ServiceProvider</w:t>
            </w:r>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r>
              <w:t>mdmec:Publisher-type</w:t>
            </w:r>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r>
              <w:t>AvailType</w:t>
            </w:r>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r>
              <w:t>xs:string</w:t>
            </w:r>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r>
              <w:t>ShortDescription</w:t>
            </w:r>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r>
              <w:t>xs:string</w:t>
            </w:r>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r>
              <w:t>avails:AvailAsset-type</w:t>
            </w:r>
          </w:p>
        </w:tc>
        <w:tc>
          <w:tcPr>
            <w:tcW w:w="715" w:type="dxa"/>
          </w:tcPr>
          <w:p w14:paraId="75D83B38" w14:textId="77777777" w:rsidR="005A5557" w:rsidRDefault="005A5557" w:rsidP="00EC0F69">
            <w:pPr>
              <w:pStyle w:val="TableEntry"/>
            </w:pPr>
            <w:r>
              <w:t>1..n</w:t>
            </w:r>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r>
              <w:t>avails:AvailTrans-type</w:t>
            </w:r>
          </w:p>
        </w:tc>
        <w:tc>
          <w:tcPr>
            <w:tcW w:w="715" w:type="dxa"/>
          </w:tcPr>
          <w:p w14:paraId="65C6A628" w14:textId="77777777" w:rsidR="005A5557" w:rsidRDefault="005A5557" w:rsidP="00EC0F69">
            <w:pPr>
              <w:pStyle w:val="TableEntry"/>
            </w:pPr>
            <w:r>
              <w:t>1..n</w:t>
            </w:r>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r>
              <w:t>CoreMetadata</w:t>
            </w:r>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r>
              <w:t>mdmec:CoreMetadata-type</w:t>
            </w:r>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r>
              <w:t>SharedEntitlement</w:t>
            </w:r>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r>
              <w:t>avails:AvailSharedEntitlement-type</w:t>
            </w:r>
          </w:p>
        </w:tc>
        <w:tc>
          <w:tcPr>
            <w:tcW w:w="715" w:type="dxa"/>
          </w:tcPr>
          <w:p w14:paraId="47C27112" w14:textId="77777777" w:rsidR="00352438" w:rsidDel="00352438" w:rsidRDefault="00352438" w:rsidP="00EC0F69">
            <w:pPr>
              <w:pStyle w:val="TableEntry"/>
            </w:pPr>
            <w:r>
              <w:t>0..n</w:t>
            </w:r>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r>
              <w:t>ExceptionsFlag</w:t>
            </w:r>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r>
              <w:t>xs:boolean</w:t>
            </w:r>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r>
        <w:t>AvailType defines the asset structure of the avail.  This is how the studio differentiates between offering a single title (e.g., an episode) from multiple titles (e.g., a season).  This type also support additional content such as a movie offered with extras.</w:t>
      </w:r>
    </w:p>
    <w:p w14:paraId="32E4136D" w14:textId="271952F2" w:rsidR="00473E75" w:rsidRDefault="00473E75" w:rsidP="0097443E">
      <w:pPr>
        <w:pStyle w:val="Body"/>
      </w:pPr>
      <w:r>
        <w:t>AvailType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E20D6C">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0788D77C" w14:textId="32CBD7E2" w:rsidR="00473E75" w:rsidRDefault="00435292">
      <w:pPr>
        <w:pStyle w:val="Body"/>
        <w:numPr>
          <w:ilvl w:val="1"/>
          <w:numId w:val="8"/>
        </w:numPr>
      </w:pPr>
      <w:r>
        <w:t>S</w:t>
      </w:r>
      <w:r w:rsidR="00473E75">
        <w:t xml:space="preserve">hall </w:t>
      </w:r>
      <w:r>
        <w:t>include</w:t>
      </w:r>
      <w:r w:rsidR="00473E75">
        <w:t xml:space="preserve"> </w:t>
      </w:r>
      <w:r w:rsidR="005D5DDE">
        <w:t xml:space="preserve">exactly one </w:t>
      </w:r>
      <w:r w:rsidR="00473E75">
        <w:t xml:space="preserve">Avail/Asset element </w:t>
      </w:r>
      <w:r>
        <w:t xml:space="preserve">where </w:t>
      </w:r>
      <w:r w:rsidR="00451274">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695708EB" w14:textId="59962E6B" w:rsidR="00473E75" w:rsidRDefault="00473E75">
      <w:pPr>
        <w:pStyle w:val="Body"/>
        <w:numPr>
          <w:ilvl w:val="1"/>
          <w:numId w:val="8"/>
        </w:numPr>
      </w:pPr>
      <w:r>
        <w:t xml:space="preserve">There shall be a single Avail/Asset element </w:t>
      </w:r>
      <w:r w:rsidR="00435292">
        <w:t xml:space="preserve">where </w:t>
      </w:r>
      <w:r w:rsidR="00451274">
        <w:t>Asset/WorkType= ‘Episode’.</w:t>
      </w:r>
    </w:p>
    <w:p w14:paraId="4AFE1A2E" w14:textId="77777777" w:rsidR="00451274" w:rsidRDefault="00473E75" w:rsidP="00360672">
      <w:pPr>
        <w:pStyle w:val="Body"/>
        <w:numPr>
          <w:ilvl w:val="0"/>
          <w:numId w:val="8"/>
        </w:numPr>
      </w:pPr>
      <w:r>
        <w:lastRenderedPageBreak/>
        <w:t xml:space="preserve">‘season’ – A single season consisting of multiple episodes.  A season may be availed even though the number of episodes is unknown (e.g., prior to airing). </w:t>
      </w:r>
    </w:p>
    <w:p w14:paraId="6ED4C9EE" w14:textId="4662F7AE" w:rsidR="00435292" w:rsidRDefault="00435292" w:rsidP="00435292">
      <w:pPr>
        <w:pStyle w:val="Body"/>
        <w:numPr>
          <w:ilvl w:val="1"/>
          <w:numId w:val="8"/>
        </w:numPr>
      </w:pPr>
      <w:r>
        <w:t>Shall include</w:t>
      </w:r>
      <w:r w:rsidR="00473E75">
        <w:t xml:space="preserve"> </w:t>
      </w:r>
      <w:r w:rsidR="005D5DDE">
        <w:t>exactly one</w:t>
      </w:r>
      <w:r w:rsidR="00473E75">
        <w:t xml:space="preserve"> Avail/Asset element </w:t>
      </w:r>
      <w:r>
        <w:t xml:space="preserve">where </w:t>
      </w:r>
      <w:r>
        <w:t>Asset/WorkType= ‘Season’.</w:t>
      </w:r>
    </w:p>
    <w:p w14:paraId="113F2564" w14:textId="7E99E01D" w:rsidR="00451274" w:rsidRDefault="00451274" w:rsidP="00360672">
      <w:pPr>
        <w:pStyle w:val="Body"/>
        <w:numPr>
          <w:ilvl w:val="1"/>
          <w:numId w:val="8"/>
        </w:numPr>
      </w:pPr>
      <w:r>
        <w:t xml:space="preserve">Note that with a ‘season’ asset, </w:t>
      </w:r>
      <w:r w:rsidR="00435292">
        <w:t>Asset instances are</w:t>
      </w:r>
      <w:r>
        <w:t xml:space="preserve"> not provided for individual episodes. </w:t>
      </w:r>
    </w:p>
    <w:p w14:paraId="528122DF" w14:textId="5DC49684" w:rsidR="00451274" w:rsidRDefault="00435292" w:rsidP="00360672">
      <w:pPr>
        <w:pStyle w:val="Body"/>
        <w:numPr>
          <w:ilvl w:val="0"/>
          <w:numId w:val="8"/>
        </w:numPr>
      </w:pPr>
      <w:r w:rsidDel="00435292">
        <w:t xml:space="preserve"> </w:t>
      </w:r>
      <w:r w:rsidR="00473E75">
        <w:t xml:space="preserve">‘series’ – A single </w:t>
      </w:r>
      <w:r w:rsidR="009E748D">
        <w:t xml:space="preserve">series </w:t>
      </w:r>
      <w:r w:rsidR="00473E75">
        <w:t xml:space="preserve">consisting of two or more seasons.  If only one season is offered, AvailType=‘season’ </w:t>
      </w:r>
      <w:r w:rsidR="00455A38">
        <w:t xml:space="preserve">or AvailType=’miniseries’ </w:t>
      </w:r>
      <w:r w:rsidR="00473E75">
        <w:t>should be used</w:t>
      </w:r>
      <w:r w:rsidR="00455A38">
        <w:t>.</w:t>
      </w:r>
    </w:p>
    <w:p w14:paraId="55F652D4" w14:textId="20FDC3E4" w:rsidR="00473E75" w:rsidRDefault="00435292">
      <w:pPr>
        <w:pStyle w:val="Body"/>
        <w:numPr>
          <w:ilvl w:val="1"/>
          <w:numId w:val="8"/>
        </w:numPr>
      </w:pPr>
      <w:r>
        <w:t>Shall include</w:t>
      </w:r>
      <w:r w:rsidR="00473E75">
        <w:t xml:space="preserve"> </w:t>
      </w:r>
      <w:r w:rsidR="005D5DDE">
        <w:t>exactly one</w:t>
      </w:r>
      <w:r w:rsidR="00473E75">
        <w:t xml:space="preserve"> Avail/Asset element </w:t>
      </w:r>
      <w:r>
        <w:t xml:space="preserve">where </w:t>
      </w:r>
      <w:r w:rsidR="00451274">
        <w:t>Asset/WorkType= ‘Series’.</w:t>
      </w:r>
    </w:p>
    <w:p w14:paraId="02D73344" w14:textId="38C8351D" w:rsidR="00435292" w:rsidRDefault="00435292">
      <w:pPr>
        <w:pStyle w:val="Body"/>
        <w:numPr>
          <w:ilvl w:val="1"/>
          <w:numId w:val="8"/>
        </w:numPr>
      </w:pPr>
      <w:r>
        <w:t>Note that with a ‘series’ asset, Asset instances are not provided for individual seasons or episodes.</w:t>
      </w:r>
    </w:p>
    <w:p w14:paraId="65D4827A" w14:textId="77777777" w:rsidR="009E748D" w:rsidRDefault="009E748D" w:rsidP="009E748D">
      <w:pPr>
        <w:pStyle w:val="Body"/>
        <w:numPr>
          <w:ilvl w:val="0"/>
          <w:numId w:val="8"/>
        </w:numPr>
      </w:pPr>
      <w:r>
        <w:t xml:space="preserve">‘miniseries’ – A single series consisting of two or more episodes.  If only one episode is offered, AvailType=‘episode’ should be used.  </w:t>
      </w:r>
      <w:r w:rsidR="00455A38">
        <w:t>Note that if the title was expected to have multiple seasons (i.e, either cancelled after one or more anticipated), ‘season’ should be used.</w:t>
      </w:r>
    </w:p>
    <w:p w14:paraId="249E7F01" w14:textId="63BE500A" w:rsidR="009E748D" w:rsidRDefault="00435292" w:rsidP="009E748D">
      <w:pPr>
        <w:pStyle w:val="Body"/>
        <w:numPr>
          <w:ilvl w:val="1"/>
          <w:numId w:val="8"/>
        </w:numPr>
      </w:pPr>
      <w:r>
        <w:t>Shall include</w:t>
      </w:r>
      <w:r w:rsidR="009E748D">
        <w:t xml:space="preserve"> </w:t>
      </w:r>
      <w:r w:rsidR="005D5DDE">
        <w:t>exactly one</w:t>
      </w:r>
      <w:r w:rsidR="009E748D">
        <w:t xml:space="preserve"> Avail/Asset element </w:t>
      </w:r>
      <w:r>
        <w:t xml:space="preserve">where </w:t>
      </w:r>
    </w:p>
    <w:p w14:paraId="6F7B066D" w14:textId="77777777" w:rsidR="009E748D" w:rsidRDefault="009E748D" w:rsidP="00892777">
      <w:pPr>
        <w:pStyle w:val="Body"/>
        <w:numPr>
          <w:ilvl w:val="2"/>
          <w:numId w:val="8"/>
        </w:numPr>
      </w:pPr>
      <w:r>
        <w:t>Asset/WorkType= ‘Series’.</w:t>
      </w:r>
    </w:p>
    <w:p w14:paraId="5DB28539" w14:textId="77777777" w:rsidR="009E748D" w:rsidRDefault="009E748D" w:rsidP="00892777">
      <w:pPr>
        <w:pStyle w:val="Body"/>
        <w:numPr>
          <w:ilvl w:val="2"/>
          <w:numId w:val="8"/>
        </w:numPr>
      </w:pPr>
      <w:r>
        <w:t>Asset/SeriesMetadata/NumberOfSeasons,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0BABDB1D" w:rsidR="00451274" w:rsidRDefault="007C48DB" w:rsidP="00360672">
      <w:pPr>
        <w:pStyle w:val="Body"/>
        <w:numPr>
          <w:ilvl w:val="1"/>
          <w:numId w:val="8"/>
        </w:numPr>
      </w:pPr>
      <w:r>
        <w:t xml:space="preserve">Shall include an </w:t>
      </w:r>
      <w:r w:rsidR="00451274">
        <w:t xml:space="preserve">Avail/Asset element for each asset.  </w:t>
      </w:r>
    </w:p>
    <w:p w14:paraId="0EC2007B" w14:textId="77777777" w:rsidR="002B3447" w:rsidRDefault="002B3447" w:rsidP="002B3447">
      <w:pPr>
        <w:pStyle w:val="Body"/>
        <w:numPr>
          <w:ilvl w:val="0"/>
          <w:numId w:val="8"/>
        </w:numPr>
      </w:pPr>
      <w:r>
        <w:t xml:space="preserve">‘bundle’ – One or more assets defined in other Avails. </w:t>
      </w:r>
    </w:p>
    <w:p w14:paraId="43992BC0" w14:textId="1F93914A" w:rsidR="002B3447" w:rsidRDefault="007C48DB" w:rsidP="002B3447">
      <w:pPr>
        <w:pStyle w:val="Body"/>
        <w:numPr>
          <w:ilvl w:val="1"/>
          <w:numId w:val="8"/>
        </w:numPr>
      </w:pPr>
      <w:r>
        <w:t>Shall include</w:t>
      </w:r>
      <w:r w:rsidR="005D5DDE">
        <w:t xml:space="preserve"> exactly</w:t>
      </w:r>
      <w:r w:rsidR="00E21927">
        <w:t xml:space="preserve"> one instance of</w:t>
      </w:r>
      <w:r w:rsidR="002B3447">
        <w:t xml:space="preserve"> Avail/Asset </w:t>
      </w:r>
      <w:r w:rsidR="005D5DDE">
        <w:t>where</w:t>
      </w:r>
      <w:r w:rsidR="002B3447">
        <w:t xml:space="preserve">  </w:t>
      </w:r>
    </w:p>
    <w:p w14:paraId="0F08DDAE" w14:textId="77777777" w:rsidR="007C48DB" w:rsidRDefault="007C48DB" w:rsidP="007C48DB">
      <w:pPr>
        <w:pStyle w:val="Body"/>
        <w:numPr>
          <w:ilvl w:val="2"/>
          <w:numId w:val="8"/>
        </w:numPr>
      </w:pPr>
      <w:r>
        <w:t>Asset/WorkType = ‘Collection’</w:t>
      </w:r>
    </w:p>
    <w:p w14:paraId="66304003" w14:textId="02990489" w:rsidR="00234296" w:rsidRDefault="00234296" w:rsidP="002B3447">
      <w:pPr>
        <w:pStyle w:val="Body"/>
        <w:numPr>
          <w:ilvl w:val="2"/>
          <w:numId w:val="8"/>
        </w:numPr>
      </w:pPr>
      <w:r>
        <w:t xml:space="preserve">Asset/@contentID shall be a Content ID created for this Bundle.  </w:t>
      </w:r>
    </w:p>
    <w:p w14:paraId="04CE085C" w14:textId="7D1E3E73" w:rsidR="002B3447" w:rsidRDefault="002B3447" w:rsidP="002B3447">
      <w:pPr>
        <w:pStyle w:val="Body"/>
        <w:numPr>
          <w:ilvl w:val="2"/>
          <w:numId w:val="8"/>
        </w:numPr>
      </w:pPr>
      <w:r>
        <w:t xml:space="preserve">Asset/Metadata element </w:t>
      </w:r>
      <w:r w:rsidR="00E21927">
        <w:t>describes</w:t>
      </w:r>
      <w:r w:rsidR="00F059D8">
        <w:t xml:space="preserve"> the bundle</w:t>
      </w:r>
      <w:r w:rsidR="007C48DB">
        <w:t>.</w:t>
      </w:r>
      <w:r w:rsidR="007C48DB" w:rsidRPr="007C48DB">
        <w:t xml:space="preserve"> </w:t>
      </w:r>
      <w:r w:rsidR="007C48DB">
        <w:t>Note that metadata is required for offering a Bundle.</w:t>
      </w:r>
    </w:p>
    <w:p w14:paraId="6F236066" w14:textId="77777777" w:rsidR="002B3447" w:rsidRDefault="00E21927" w:rsidP="00F059D8">
      <w:pPr>
        <w:pStyle w:val="Body"/>
        <w:numPr>
          <w:ilvl w:val="2"/>
          <w:numId w:val="8"/>
        </w:numPr>
      </w:pPr>
      <w:r>
        <w:t xml:space="preserve">An instance of </w:t>
      </w:r>
      <w:r w:rsidR="002B3447">
        <w:t xml:space="preserve">BundleAsset </w:t>
      </w:r>
      <w:r>
        <w:t>exists for each bundled asset</w:t>
      </w:r>
    </w:p>
    <w:p w14:paraId="3B3624FD" w14:textId="77777777" w:rsidR="00E21927" w:rsidRDefault="00E21927" w:rsidP="00E21927">
      <w:pPr>
        <w:pStyle w:val="Body"/>
        <w:numPr>
          <w:ilvl w:val="3"/>
          <w:numId w:val="8"/>
        </w:numPr>
      </w:pPr>
      <w:r>
        <w:t>Note: Some implementations may allow ALIDs in BundleAsset to reference other Bundles.</w:t>
      </w:r>
    </w:p>
    <w:p w14:paraId="2735C22C" w14:textId="6A3665AF" w:rsidR="002B3447" w:rsidRDefault="002B3447" w:rsidP="002B3447">
      <w:pPr>
        <w:pStyle w:val="Body"/>
        <w:numPr>
          <w:ilvl w:val="0"/>
          <w:numId w:val="8"/>
        </w:numPr>
      </w:pPr>
      <w:r>
        <w:t>‘</w:t>
      </w:r>
      <w:r w:rsidR="00E63415">
        <w:t>supplement’</w:t>
      </w:r>
      <w:r>
        <w:t xml:space="preserve"> – One or more </w:t>
      </w:r>
      <w:r w:rsidR="00E63415">
        <w:t>supplemental (i.e</w:t>
      </w:r>
      <w:r w:rsidR="007C48DB">
        <w:t>.</w:t>
      </w:r>
      <w:r w:rsidR="00E63415">
        <w:t>, bonus, extra, VAM)</w:t>
      </w:r>
      <w:r>
        <w:t xml:space="preserve"> assets are offered.</w:t>
      </w:r>
    </w:p>
    <w:p w14:paraId="5466D7AB" w14:textId="7A542287" w:rsidR="00DA51E5" w:rsidRDefault="005D5DDE" w:rsidP="00DA51E5">
      <w:pPr>
        <w:pStyle w:val="Body"/>
        <w:numPr>
          <w:ilvl w:val="1"/>
          <w:numId w:val="8"/>
        </w:numPr>
      </w:pPr>
      <w:r>
        <w:t>Shall include a</w:t>
      </w:r>
      <w:r w:rsidR="00DA51E5">
        <w:t xml:space="preserve">n Asset element for each </w:t>
      </w:r>
      <w:r w:rsidR="00E63415">
        <w:t>supplemental</w:t>
      </w:r>
      <w:r w:rsidR="00DA51E5">
        <w:t xml:space="preserve"> object</w:t>
      </w:r>
      <w:r>
        <w:t xml:space="preserve"> where</w:t>
      </w:r>
    </w:p>
    <w:p w14:paraId="086C921E" w14:textId="77777777" w:rsidR="00DA51E5" w:rsidRDefault="00DA51E5" w:rsidP="00892777">
      <w:pPr>
        <w:pStyle w:val="Body"/>
        <w:numPr>
          <w:ilvl w:val="2"/>
          <w:numId w:val="8"/>
        </w:numPr>
      </w:pPr>
      <w:r>
        <w:t>Asset/WorkType = ‘Supplemental’</w:t>
      </w:r>
    </w:p>
    <w:p w14:paraId="482E37F4" w14:textId="77777777" w:rsidR="00F20A4F" w:rsidRDefault="00DA51E5" w:rsidP="00892777">
      <w:pPr>
        <w:pStyle w:val="Body"/>
        <w:numPr>
          <w:ilvl w:val="2"/>
          <w:numId w:val="8"/>
        </w:numPr>
      </w:pPr>
      <w:r>
        <w:lastRenderedPageBreak/>
        <w:t>Asset/Metadata</w:t>
      </w:r>
      <w:r w:rsidR="00F20A4F">
        <w:t xml:space="preserve"> is allowed</w:t>
      </w:r>
    </w:p>
    <w:p w14:paraId="3025682E" w14:textId="77777777" w:rsidR="00DA51E5" w:rsidRDefault="00DA51E5" w:rsidP="00892777">
      <w:pPr>
        <w:pStyle w:val="Body"/>
        <w:numPr>
          <w:ilvl w:val="2"/>
          <w:numId w:val="8"/>
        </w:numPr>
      </w:pPr>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p>
    <w:p w14:paraId="261A6CB4" w14:textId="77777777" w:rsidR="00E63415" w:rsidRPr="002B6ED1" w:rsidRDefault="00E63415" w:rsidP="00E63415">
      <w:pPr>
        <w:pStyle w:val="Body"/>
        <w:numPr>
          <w:ilvl w:val="1"/>
          <w:numId w:val="8"/>
        </w:numPr>
      </w:pPr>
      <w:r>
        <w:t>A Transaction/</w:t>
      </w:r>
      <w:r w:rsidR="00465AE4">
        <w:t>ReferencedALID</w:t>
      </w:r>
      <w:r>
        <w:t xml:space="preserve"> shall exist </w:t>
      </w:r>
      <w:r w:rsidR="00465AE4">
        <w:t xml:space="preserve">containing </w:t>
      </w:r>
      <w:r>
        <w:t xml:space="preserve">the ALID of the </w:t>
      </w:r>
      <w:r w:rsidR="00F20A4F">
        <w:t>supplemented</w:t>
      </w:r>
      <w:r>
        <w:t xml:space="preserve"> </w:t>
      </w:r>
      <w:r w:rsidR="00F20A4F">
        <w:t>offer</w:t>
      </w:r>
      <w:r>
        <w:t>.</w:t>
      </w:r>
    </w:p>
    <w:p w14:paraId="5EC8ED83" w14:textId="77777777" w:rsidR="002B3447" w:rsidRDefault="00465AE4" w:rsidP="002B3447">
      <w:pPr>
        <w:pStyle w:val="Body"/>
        <w:numPr>
          <w:ilvl w:val="0"/>
          <w:numId w:val="8"/>
        </w:numPr>
      </w:pPr>
      <w:r>
        <w:t xml:space="preserve"> </w:t>
      </w:r>
      <w:r w:rsidR="002B3447">
        <w:t>‘promotion’ –</w:t>
      </w:r>
      <w:r w:rsidR="00E21927">
        <w:t xml:space="preserve"> One or more promoted assets.</w:t>
      </w:r>
      <w:r w:rsidR="002B3447">
        <w:t xml:space="preserve"> </w:t>
      </w:r>
    </w:p>
    <w:p w14:paraId="5E2EEE66" w14:textId="3011E130" w:rsidR="00E21927" w:rsidRDefault="005D5DDE">
      <w:pPr>
        <w:pStyle w:val="Body"/>
        <w:numPr>
          <w:ilvl w:val="1"/>
          <w:numId w:val="8"/>
        </w:numPr>
      </w:pPr>
      <w:r>
        <w:t xml:space="preserve">Shall include an </w:t>
      </w:r>
      <w:r w:rsidR="00DA51E5">
        <w:t>Asset el</w:t>
      </w:r>
      <w:r w:rsidR="00E21927">
        <w:t xml:space="preserve">ement for each </w:t>
      </w:r>
      <w:r w:rsidR="00DA51E5">
        <w:t>promotion asset</w:t>
      </w:r>
      <w:r>
        <w:t xml:space="preserve"> where </w:t>
      </w:r>
      <w:r w:rsidR="00DA51E5">
        <w:t>Asset/WorkType = ‘Promotion’</w:t>
      </w:r>
    </w:p>
    <w:p w14:paraId="4DBFE6D1" w14:textId="0CDD821E" w:rsidR="00465AE4" w:rsidRDefault="00465AE4" w:rsidP="00465AE4">
      <w:pPr>
        <w:pStyle w:val="Body"/>
        <w:numPr>
          <w:ilvl w:val="1"/>
          <w:numId w:val="8"/>
        </w:numPr>
      </w:pPr>
      <w:r>
        <w:t>A Transaction/ReferencedALID shall exist containing the ALID of the promoted offer.</w:t>
      </w:r>
    </w:p>
    <w:p w14:paraId="28D57717" w14:textId="4225B6FA" w:rsidR="00652DFC" w:rsidRDefault="00E82750">
      <w:pPr>
        <w:pStyle w:val="Body"/>
      </w:pPr>
      <w:r>
        <w:t>In addition to the above requirements, a</w:t>
      </w:r>
      <w:r w:rsidR="00652DFC">
        <w:t xml:space="preserve">ny Avail may have additional Asset elements for </w:t>
      </w:r>
      <w:r>
        <w:t>additional</w:t>
      </w:r>
      <w:r w:rsidR="00652DFC">
        <w:t xml:space="preserve"> material</w:t>
      </w:r>
      <w:r w:rsidR="00BD3BD9">
        <w:t xml:space="preserve"> </w:t>
      </w:r>
      <w:r>
        <w:t>with WorkType of</w:t>
      </w:r>
      <w:r w:rsidR="00BD3BD9">
        <w:t xml:space="preserve"> ‘Ad’, </w:t>
      </w:r>
      <w:r>
        <w:t xml:space="preserve">‘Album’, </w:t>
      </w:r>
      <w:r w:rsidR="00BD3BD9">
        <w:t>‘Excerp</w:t>
      </w:r>
      <w:r>
        <w:t xml:space="preserve">t’, ‘Music Video’, ‘Promotion’, </w:t>
      </w:r>
      <w:r w:rsidR="00BD3BD9">
        <w:t>‘Song’ or ‘</w:t>
      </w:r>
      <w:r>
        <w:t>Supplemental’</w:t>
      </w:r>
      <w:r w:rsidR="00652DFC">
        <w:t>.</w:t>
      </w:r>
      <w:r w:rsidR="00C80967">
        <w:t xml:space="preserve"> </w:t>
      </w:r>
    </w:p>
    <w:p w14:paraId="416FE068" w14:textId="2C0E2575" w:rsidR="00C80967" w:rsidRDefault="00E82750" w:rsidP="00652DFC">
      <w:pPr>
        <w:pStyle w:val="Body"/>
      </w:pPr>
      <w:r>
        <w:t>Note that f</w:t>
      </w:r>
      <w:r w:rsidR="00C80967">
        <w:t>or AvailTypes that intrinsically included subordinate assets (e.g., episodes within seasons, or episodes within mini-series, or seasons within series), do not include the subordinate assets as Asset instances.</w:t>
      </w:r>
    </w:p>
    <w:p w14:paraId="5606C6BA" w14:textId="77777777" w:rsidR="0097443E" w:rsidRDefault="0097443E" w:rsidP="003B015E">
      <w:pPr>
        <w:pStyle w:val="Heading3"/>
      </w:pPr>
      <w:bookmarkStart w:id="97" w:name="_Toc340780653"/>
      <w:bookmarkStart w:id="98" w:name="_Toc432473479"/>
      <w:bookmarkStart w:id="99" w:name="_Toc467013490"/>
      <w:r>
        <w:t>AvailDisposition-type</w:t>
      </w:r>
      <w:bookmarkEnd w:id="97"/>
      <w:bookmarkEnd w:id="98"/>
      <w:bookmarkEnd w:id="99"/>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particular region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r>
              <w:rPr>
                <w:b/>
              </w:rPr>
              <w:t>AvailDisposition-type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r>
              <w:t>EntryType</w:t>
            </w:r>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r>
              <w:t>xs:string</w:t>
            </w:r>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r>
              <w:t>IssueDate</w:t>
            </w:r>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Date this Avail was issued.  If necessary, recipients can use IssueDate to reconstruct the order of issuance.  Although this may be xs:gYear only or xs:date, it is strongly recommended that the xs:dateTime form be used.</w:t>
            </w:r>
          </w:p>
        </w:tc>
        <w:tc>
          <w:tcPr>
            <w:tcW w:w="1798" w:type="dxa"/>
          </w:tcPr>
          <w:p w14:paraId="080D4831" w14:textId="77777777" w:rsidR="0097443E" w:rsidRDefault="0097443E" w:rsidP="00EC0F69">
            <w:pPr>
              <w:pStyle w:val="TableEntry"/>
            </w:pPr>
            <w:r>
              <w:t>md:YearDateOrTime-type</w:t>
            </w:r>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lastRenderedPageBreak/>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r>
              <w:t>0..n</w:t>
            </w:r>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r>
        <w:t>EntryType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00" w:name="_Toc340780655"/>
      <w:bookmarkStart w:id="101" w:name="_Ref386714227"/>
      <w:bookmarkStart w:id="102" w:name="_Toc432473480"/>
      <w:bookmarkStart w:id="103" w:name="_Toc467013491"/>
      <w:r>
        <w:t>AvailAsset-type</w:t>
      </w:r>
      <w:bookmarkEnd w:id="100"/>
      <w:bookmarkEnd w:id="101"/>
      <w:bookmarkEnd w:id="102"/>
      <w:bookmarkEnd w:id="103"/>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r>
              <w:rPr>
                <w:b/>
              </w:rPr>
              <w:t>AvailAsset-type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r>
              <w:t>contentID</w:t>
            </w:r>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r>
              <w:t>md:ContentID-type</w:t>
            </w:r>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r>
              <w:t>xs:string</w:t>
            </w:r>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r>
              <w:t>xs:string</w:t>
            </w:r>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r>
              <w:t>avails:Avail</w:t>
            </w:r>
            <w:r w:rsidR="00F36F4B">
              <w:t>Unit</w:t>
            </w:r>
            <w:r>
              <w:t>Metadata-type</w:t>
            </w:r>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r>
              <w:t>EpisodeMetadata</w:t>
            </w:r>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r>
              <w:t>avails:AvailEpisodeMetadata-type</w:t>
            </w:r>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r>
              <w:t>SeasonMetadata</w:t>
            </w:r>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r>
              <w:t>avails:AvailSeasonMetadata-type</w:t>
            </w:r>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r>
              <w:t>SeriesMetadata</w:t>
            </w:r>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r>
              <w:t>avails:AvailSeriesMetadata-type</w:t>
            </w:r>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trPr>
        <w:tc>
          <w:tcPr>
            <w:tcW w:w="1507" w:type="dxa"/>
          </w:tcPr>
          <w:p w14:paraId="42EF6BDD" w14:textId="77777777" w:rsidR="00856916" w:rsidRDefault="00856916" w:rsidP="00F20A4F">
            <w:pPr>
              <w:pStyle w:val="TableEntry"/>
            </w:pPr>
            <w:r>
              <w:t>BundledAsset</w:t>
            </w:r>
          </w:p>
        </w:tc>
        <w:tc>
          <w:tcPr>
            <w:tcW w:w="948" w:type="dxa"/>
          </w:tcPr>
          <w:p w14:paraId="7609C2F7" w14:textId="77777777" w:rsidR="00856916" w:rsidDel="00123849" w:rsidRDefault="00856916" w:rsidP="00F20A4F">
            <w:pPr>
              <w:pStyle w:val="TableEntry"/>
            </w:pPr>
          </w:p>
        </w:tc>
        <w:tc>
          <w:tcPr>
            <w:tcW w:w="3600" w:type="dxa"/>
          </w:tcPr>
          <w:p w14:paraId="6F897B15" w14:textId="77777777" w:rsidR="00856916" w:rsidRDefault="00856916" w:rsidP="00F20A4F">
            <w:pPr>
              <w:pStyle w:val="TableEntry"/>
            </w:pPr>
            <w:r>
              <w:t>Information about a bundled asset.  The entire asset is included by reference.</w:t>
            </w:r>
          </w:p>
        </w:tc>
        <w:tc>
          <w:tcPr>
            <w:tcW w:w="2340" w:type="dxa"/>
          </w:tcPr>
          <w:p w14:paraId="0843D07D" w14:textId="77777777" w:rsidR="00856916" w:rsidRDefault="00856916" w:rsidP="00F20A4F">
            <w:pPr>
              <w:pStyle w:val="TableEntry"/>
            </w:pPr>
            <w:r>
              <w:t>avails:AvailBundledAsset-type</w:t>
            </w:r>
          </w:p>
        </w:tc>
        <w:tc>
          <w:tcPr>
            <w:tcW w:w="1080" w:type="dxa"/>
          </w:tcPr>
          <w:p w14:paraId="2CA208A1" w14:textId="77777777" w:rsidR="00856916" w:rsidRDefault="00856916" w:rsidP="00F20A4F">
            <w:pPr>
              <w:pStyle w:val="TableEntry"/>
            </w:pPr>
            <w:r>
              <w:t>0..</w:t>
            </w:r>
            <w:r w:rsidR="00A82668">
              <w:t>n</w:t>
            </w:r>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r>
              <w:t>0..n</w:t>
            </w:r>
          </w:p>
        </w:tc>
      </w:tr>
    </w:tbl>
    <w:p w14:paraId="5A8E95CA" w14:textId="77777777" w:rsidR="00435292" w:rsidRDefault="00435292" w:rsidP="00435292">
      <w:pPr>
        <w:pStyle w:val="Body"/>
      </w:pPr>
      <w:bookmarkStart w:id="104" w:name="_Ref420445985"/>
      <w:r>
        <w:t>The appropriate choice of metadata object is as follows:</w:t>
      </w:r>
    </w:p>
    <w:p w14:paraId="2B155F05" w14:textId="77777777" w:rsidR="00435292" w:rsidRDefault="00435292" w:rsidP="00435292">
      <w:pPr>
        <w:pStyle w:val="Body"/>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trPr>
        <w:tc>
          <w:tcPr>
            <w:tcW w:w="2695" w:type="dxa"/>
          </w:tcPr>
          <w:p w14:paraId="6DEB0739" w14:textId="77777777" w:rsidR="00435292" w:rsidRPr="007D04D7" w:rsidRDefault="00435292" w:rsidP="00435292">
            <w:pPr>
              <w:pStyle w:val="TableEntry"/>
              <w:rPr>
                <w:b/>
              </w:rPr>
            </w:pPr>
            <w:r>
              <w:rPr>
                <w:b/>
              </w:rPr>
              <w:lastRenderedPageBreak/>
              <w:t>Metadata Object</w:t>
            </w:r>
          </w:p>
        </w:tc>
        <w:tc>
          <w:tcPr>
            <w:tcW w:w="3600" w:type="dxa"/>
          </w:tcPr>
          <w:p w14:paraId="6C810FB0" w14:textId="77777777" w:rsidR="00435292" w:rsidRPr="007D04D7" w:rsidRDefault="00435292" w:rsidP="00435292">
            <w:pPr>
              <w:pStyle w:val="TableEntry"/>
              <w:rPr>
                <w:b/>
              </w:rPr>
            </w:pPr>
            <w:r>
              <w:rPr>
                <w:b/>
              </w:rPr>
              <w:t>WorkType</w:t>
            </w:r>
          </w:p>
        </w:tc>
      </w:tr>
      <w:tr w:rsidR="00435292" w:rsidRPr="0000320B" w14:paraId="77488755" w14:textId="77777777" w:rsidTr="00435292">
        <w:trPr>
          <w:cantSplit/>
        </w:trPr>
        <w:tc>
          <w:tcPr>
            <w:tcW w:w="2695" w:type="dxa"/>
          </w:tcPr>
          <w:p w14:paraId="795E70F6" w14:textId="77777777" w:rsidR="00435292" w:rsidRDefault="00435292" w:rsidP="00435292">
            <w:pPr>
              <w:pStyle w:val="TableEntry"/>
            </w:pPr>
            <w:r>
              <w:t>Metadata</w:t>
            </w:r>
          </w:p>
        </w:tc>
        <w:tc>
          <w:tcPr>
            <w:tcW w:w="3600" w:type="dxa"/>
          </w:tcPr>
          <w:p w14:paraId="37209031" w14:textId="77777777" w:rsidR="00435292" w:rsidRDefault="00435292" w:rsidP="00435292">
            <w:pPr>
              <w:pStyle w:val="TableEntry"/>
            </w:pPr>
            <w:r>
              <w:t>Anything other than Episode, Season or Series (e.g., Movie, Short, Non-episodic show, Supplemental, Promotion and Ad).</w:t>
            </w:r>
          </w:p>
        </w:tc>
      </w:tr>
      <w:tr w:rsidR="00435292" w:rsidRPr="0000320B" w14:paraId="54B972F4" w14:textId="77777777" w:rsidTr="00435292">
        <w:trPr>
          <w:cantSplit/>
        </w:trPr>
        <w:tc>
          <w:tcPr>
            <w:tcW w:w="2695" w:type="dxa"/>
          </w:tcPr>
          <w:p w14:paraId="347CB86C" w14:textId="77777777" w:rsidR="00435292" w:rsidRDefault="00435292" w:rsidP="00435292">
            <w:pPr>
              <w:pStyle w:val="TableEntry"/>
            </w:pPr>
            <w:r>
              <w:t>EpisodeMetadata</w:t>
            </w:r>
          </w:p>
        </w:tc>
        <w:tc>
          <w:tcPr>
            <w:tcW w:w="3600" w:type="dxa"/>
          </w:tcPr>
          <w:p w14:paraId="2FBBDA7B" w14:textId="77777777" w:rsidR="00435292" w:rsidRDefault="00435292" w:rsidP="00435292">
            <w:pPr>
              <w:pStyle w:val="TableEntry"/>
            </w:pPr>
            <w:r>
              <w:t>Episode</w:t>
            </w:r>
          </w:p>
        </w:tc>
      </w:tr>
      <w:tr w:rsidR="00435292" w:rsidRPr="0000320B" w14:paraId="5CDBABBD" w14:textId="77777777" w:rsidTr="00435292">
        <w:trPr>
          <w:cantSplit/>
        </w:trPr>
        <w:tc>
          <w:tcPr>
            <w:tcW w:w="2695" w:type="dxa"/>
          </w:tcPr>
          <w:p w14:paraId="697BE569" w14:textId="77777777" w:rsidR="00435292" w:rsidRDefault="00435292" w:rsidP="00435292">
            <w:pPr>
              <w:pStyle w:val="TableEntry"/>
            </w:pPr>
            <w:r>
              <w:t>SeasonMetadata</w:t>
            </w:r>
          </w:p>
        </w:tc>
        <w:tc>
          <w:tcPr>
            <w:tcW w:w="3600" w:type="dxa"/>
          </w:tcPr>
          <w:p w14:paraId="511CE721" w14:textId="77777777" w:rsidR="00435292" w:rsidRDefault="00435292" w:rsidP="00435292">
            <w:pPr>
              <w:pStyle w:val="TableEntry"/>
            </w:pPr>
            <w:r>
              <w:t>Season</w:t>
            </w:r>
          </w:p>
        </w:tc>
      </w:tr>
      <w:tr w:rsidR="00435292" w:rsidRPr="0000320B" w:rsidDel="00123849" w14:paraId="05EB0FCF" w14:textId="77777777" w:rsidTr="00435292">
        <w:trPr>
          <w:cantSplit/>
        </w:trPr>
        <w:tc>
          <w:tcPr>
            <w:tcW w:w="2695" w:type="dxa"/>
          </w:tcPr>
          <w:p w14:paraId="725847D3" w14:textId="77777777" w:rsidR="00435292" w:rsidDel="00123849" w:rsidRDefault="00435292" w:rsidP="00435292">
            <w:pPr>
              <w:pStyle w:val="TableEntry"/>
            </w:pPr>
            <w:r>
              <w:t>SeriesMetadata</w:t>
            </w:r>
          </w:p>
        </w:tc>
        <w:tc>
          <w:tcPr>
            <w:tcW w:w="3600" w:type="dxa"/>
          </w:tcPr>
          <w:p w14:paraId="3FC86582" w14:textId="77777777" w:rsidR="00435292" w:rsidDel="00123849" w:rsidRDefault="00435292" w:rsidP="00435292">
            <w:pPr>
              <w:pStyle w:val="TableEntry"/>
            </w:pPr>
            <w:r>
              <w:t>Series (including mini-series)</w:t>
            </w:r>
          </w:p>
        </w:tc>
      </w:tr>
    </w:tbl>
    <w:p w14:paraId="28134B0E" w14:textId="77777777" w:rsidR="0097443E" w:rsidRDefault="0097443E" w:rsidP="0097443E">
      <w:pPr>
        <w:pStyle w:val="Heading4"/>
      </w:pPr>
      <w:r>
        <w:t>AvailMetadata-type</w:t>
      </w:r>
      <w:bookmarkEnd w:id="104"/>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r>
              <w:rPr>
                <w:b/>
              </w:rPr>
              <w:t>AvailMetadata-type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r>
              <w:t>TitileDisplayUnlimited</w:t>
            </w:r>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Display title, no length limit.  Same as TitleDisplayUnliminted in Common Metadata.</w:t>
            </w:r>
          </w:p>
        </w:tc>
        <w:tc>
          <w:tcPr>
            <w:tcW w:w="1772" w:type="dxa"/>
          </w:tcPr>
          <w:p w14:paraId="40ABE4E4" w14:textId="77777777" w:rsidR="0097443E" w:rsidRDefault="0097443E" w:rsidP="00EC0F69">
            <w:pPr>
              <w:pStyle w:val="TableEntry"/>
            </w:pPr>
            <w:r>
              <w:t>xs:string</w:t>
            </w:r>
          </w:p>
        </w:tc>
        <w:tc>
          <w:tcPr>
            <w:tcW w:w="660" w:type="dxa"/>
          </w:tcPr>
          <w:p w14:paraId="1D78DC0B" w14:textId="77777777" w:rsidR="0097443E" w:rsidRDefault="00BB6DBA" w:rsidP="00EC0F69">
            <w:pPr>
              <w:pStyle w:val="TableEntry"/>
            </w:pPr>
            <w:r>
              <w:t>0..1</w:t>
            </w:r>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r>
              <w:t>TitleInternalAlias</w:t>
            </w:r>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r>
              <w:t>xs:string</w:t>
            </w:r>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r>
              <w:t>EditEIDR-</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r>
              <w:t>xs:anyURI</w:t>
            </w:r>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r>
              <w:t>TitleEIDR-</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r>
              <w:t>xs:anyURI</w:t>
            </w:r>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r>
              <w:t>AltIdentifier</w:t>
            </w:r>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Other identifiers referring to the same asset.  Same as AltIdentifier in CommonMetadata.</w:t>
            </w:r>
          </w:p>
        </w:tc>
        <w:tc>
          <w:tcPr>
            <w:tcW w:w="1772" w:type="dxa"/>
          </w:tcPr>
          <w:p w14:paraId="016EB633" w14:textId="77777777" w:rsidR="00065460" w:rsidRDefault="00065460" w:rsidP="00065460">
            <w:pPr>
              <w:pStyle w:val="TableEntry"/>
            </w:pPr>
            <w:r>
              <w:t>md:ContentIdentifier-type</w:t>
            </w:r>
          </w:p>
        </w:tc>
        <w:tc>
          <w:tcPr>
            <w:tcW w:w="660" w:type="dxa"/>
          </w:tcPr>
          <w:p w14:paraId="0F506DFD" w14:textId="77777777" w:rsidR="00065460" w:rsidRDefault="00065460" w:rsidP="00065460">
            <w:pPr>
              <w:pStyle w:val="TableEntry"/>
            </w:pPr>
            <w:r>
              <w:t>0..n</w:t>
            </w:r>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Indicates the scope of the AltIdentifier</w:t>
            </w:r>
          </w:p>
        </w:tc>
        <w:tc>
          <w:tcPr>
            <w:tcW w:w="1772" w:type="dxa"/>
          </w:tcPr>
          <w:p w14:paraId="0EB58028" w14:textId="77777777" w:rsidR="00065460" w:rsidRDefault="00065460" w:rsidP="00065460">
            <w:pPr>
              <w:pStyle w:val="TableEntry"/>
            </w:pPr>
            <w:r>
              <w:t>xs:string</w:t>
            </w:r>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r>
              <w:t>VersionDescription</w:t>
            </w:r>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r>
              <w:t>xs:string</w:t>
            </w:r>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r>
              <w:t>ReleaseDate</w:t>
            </w:r>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r>
              <w:t>Union(xs:gYear, xs:gYearMonth, xs:date)</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r>
              <w:lastRenderedPageBreak/>
              <w:t>RunLength</w:t>
            </w:r>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Total run time.  Same as RunLength in Common Metadata.</w:t>
            </w:r>
          </w:p>
        </w:tc>
        <w:tc>
          <w:tcPr>
            <w:tcW w:w="1772" w:type="dxa"/>
          </w:tcPr>
          <w:p w14:paraId="5193F064" w14:textId="77777777" w:rsidR="00065460" w:rsidRDefault="00065460" w:rsidP="00065460">
            <w:pPr>
              <w:pStyle w:val="TableEntry"/>
            </w:pPr>
            <w:r>
              <w:t>xs:duration</w:t>
            </w:r>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r>
              <w:t>ReleaseHistory</w:t>
            </w:r>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r>
              <w:t>md:ReleaseHistory-type</w:t>
            </w:r>
          </w:p>
        </w:tc>
        <w:tc>
          <w:tcPr>
            <w:tcW w:w="660" w:type="dxa"/>
          </w:tcPr>
          <w:p w14:paraId="00C15CB3" w14:textId="77777777" w:rsidR="00065460" w:rsidRDefault="00065460" w:rsidP="00065460">
            <w:pPr>
              <w:pStyle w:val="TableEntry"/>
            </w:pPr>
            <w:r>
              <w:t>0..n</w:t>
            </w:r>
          </w:p>
        </w:tc>
      </w:tr>
      <w:tr w:rsidR="00065460" w14:paraId="62E73A26" w14:textId="77777777" w:rsidTr="00A2337E">
        <w:tc>
          <w:tcPr>
            <w:tcW w:w="2065" w:type="dxa"/>
          </w:tcPr>
          <w:p w14:paraId="50E10A45" w14:textId="77777777" w:rsidR="00065460" w:rsidRDefault="00065460" w:rsidP="00065460">
            <w:pPr>
              <w:pStyle w:val="TableEntry"/>
            </w:pPr>
            <w:r>
              <w:t>USACaptionsExemptionReason</w:t>
            </w:r>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required this element should be populated with a value defined below. </w:t>
            </w:r>
          </w:p>
        </w:tc>
        <w:tc>
          <w:tcPr>
            <w:tcW w:w="1772" w:type="dxa"/>
          </w:tcPr>
          <w:p w14:paraId="0E18D4DE" w14:textId="77777777" w:rsidR="00065460" w:rsidRPr="009861BC" w:rsidRDefault="00065460" w:rsidP="00065460">
            <w:pPr>
              <w:pStyle w:val="TableEntry"/>
            </w:pPr>
            <w:r>
              <w:t>xs:positiveInteger</w:t>
            </w:r>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r>
              <w:t>md:ContentRatings-type</w:t>
            </w:r>
          </w:p>
        </w:tc>
        <w:tc>
          <w:tcPr>
            <w:tcW w:w="660" w:type="dxa"/>
          </w:tcPr>
          <w:p w14:paraId="0E8B5137" w14:textId="77777777" w:rsidR="00065460" w:rsidRDefault="00F573F2" w:rsidP="00065460">
            <w:pPr>
              <w:pStyle w:val="TableEntry"/>
            </w:pPr>
            <w:r>
              <w:t>0..1</w:t>
            </w:r>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r>
              <w:t>EncodeID</w:t>
            </w:r>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r>
              <w:t>md:id-type</w:t>
            </w:r>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r>
              <w:t>LocalizationOffering</w:t>
            </w:r>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r>
              <w:t>xs:string</w:t>
            </w:r>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r>
              <w:t>0..n</w:t>
            </w:r>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r>
        <w:t>USACaptions</w:t>
      </w:r>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r w:rsidRPr="00397F7D">
        <w:t>CaptionExemptionReason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  – The FCC and/or U.S. Congress has granted an exemption from captioning requirements for this content.</w:t>
      </w:r>
    </w:p>
    <w:p w14:paraId="71D4E40F" w14:textId="77777777" w:rsidR="006902D2" w:rsidRDefault="006902D2" w:rsidP="006902D2">
      <w:pPr>
        <w:pStyle w:val="Body"/>
        <w:ind w:firstLine="0"/>
      </w:pPr>
      <w:r>
        <w:t>LocalizationOffering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lastRenderedPageBreak/>
        <w:t>‘dub’ – offering must include dubbed audio</w:t>
      </w:r>
    </w:p>
    <w:p w14:paraId="1CBB10F5" w14:textId="77777777" w:rsidR="006902D2" w:rsidRDefault="006902D2" w:rsidP="00360672">
      <w:pPr>
        <w:pStyle w:val="Body"/>
        <w:numPr>
          <w:ilvl w:val="0"/>
          <w:numId w:val="8"/>
        </w:numPr>
      </w:pPr>
      <w:r>
        <w:t>‘subdub’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r>
        <w:t>AvailUnitMetadata-type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r>
              <w:rPr>
                <w:b/>
              </w:rPr>
              <w:t>Avail</w:t>
            </w:r>
            <w:r w:rsidR="00B37E71">
              <w:rPr>
                <w:b/>
              </w:rPr>
              <w:t>Unit</w:t>
            </w:r>
            <w:r>
              <w:rPr>
                <w:b/>
              </w:rPr>
              <w:t>Metadata-type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r>
              <w:t>Avail:AvailMetadata-type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r>
              <w:t>CompanyDisplayCredit</w:t>
            </w:r>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Information about grouping content into storefronts based on organizations such as studio or broadcaster.  Equivalent to ComapnyDisplayCredits in Media Entertainment Core (MEC).</w:t>
            </w:r>
          </w:p>
        </w:tc>
        <w:tc>
          <w:tcPr>
            <w:tcW w:w="2282" w:type="dxa"/>
          </w:tcPr>
          <w:p w14:paraId="467E264C" w14:textId="77777777" w:rsidR="00F36F4B" w:rsidRDefault="00F36F4B" w:rsidP="00651305">
            <w:pPr>
              <w:pStyle w:val="TableEntry"/>
            </w:pPr>
            <w:r>
              <w:t>md:CompanyCredits-type</w:t>
            </w:r>
          </w:p>
        </w:tc>
        <w:tc>
          <w:tcPr>
            <w:tcW w:w="735" w:type="dxa"/>
          </w:tcPr>
          <w:p w14:paraId="70900779" w14:textId="77777777" w:rsidR="00F36F4B" w:rsidRDefault="00F36F4B" w:rsidP="00651305">
            <w:pPr>
              <w:pStyle w:val="TableEntry"/>
            </w:pPr>
            <w:r>
              <w:t>0..n</w:t>
            </w:r>
          </w:p>
        </w:tc>
      </w:tr>
    </w:tbl>
    <w:p w14:paraId="049A850A" w14:textId="77777777" w:rsidR="00F36F4B" w:rsidRPr="00F36F4B" w:rsidRDefault="00F36F4B" w:rsidP="00F36F4B">
      <w:pPr>
        <w:pStyle w:val="Body"/>
      </w:pPr>
    </w:p>
    <w:p w14:paraId="36EE91F9" w14:textId="77777777" w:rsidR="00DA7966" w:rsidRDefault="00DA7966" w:rsidP="00DA7966">
      <w:pPr>
        <w:pStyle w:val="Heading4"/>
      </w:pPr>
      <w:r>
        <w:t>AvailEpisodeMetadata-type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r>
              <w:rPr>
                <w:b/>
              </w:rPr>
              <w:t>AvailEpisodeMetadata-type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r>
              <w:t>a</w:t>
            </w:r>
            <w:r w:rsidR="00DA7966">
              <w:t>vail:AvailMetadata-type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r>
              <w:t>EpisodeNumber</w:t>
            </w:r>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r>
              <w:t>md:ContentSequenceInfo-type</w:t>
            </w:r>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r>
              <w:t>SeasonMetadata</w:t>
            </w:r>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r>
              <w:t>avail:AvailSeasonMetadata-type</w:t>
            </w:r>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r>
              <w:lastRenderedPageBreak/>
              <w:t>SeriesMetadata</w:t>
            </w:r>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r>
              <w:t>avail:AvailSeriesMetadata-type</w:t>
            </w:r>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r>
        <w:t>AvailSeasonMetadata-type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r>
              <w:rPr>
                <w:b/>
              </w:rPr>
              <w:t>AvailSe</w:t>
            </w:r>
            <w:r w:rsidR="00644C20">
              <w:rPr>
                <w:b/>
              </w:rPr>
              <w:t>ason</w:t>
            </w:r>
            <w:r>
              <w:rPr>
                <w:b/>
              </w:rPr>
              <w:t>Metadata-type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r>
              <w:t>SeasonContentID</w:t>
            </w:r>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r>
              <w:t>md:id-type</w:t>
            </w:r>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r>
              <w:t>SeasonEIDR-</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r>
              <w:t>xs::anyURI</w:t>
            </w:r>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r>
              <w:t>SeasonTitleDisplayUnlimited</w:t>
            </w:r>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Title for season.  Same as Common Metadata TitleDisplayUnlimited for WorkType ‘Season.</w:t>
            </w:r>
          </w:p>
        </w:tc>
        <w:tc>
          <w:tcPr>
            <w:tcW w:w="2277" w:type="dxa"/>
          </w:tcPr>
          <w:p w14:paraId="6C1602D4" w14:textId="77777777" w:rsidR="00C63F64" w:rsidRDefault="00C63F64" w:rsidP="00C63F64">
            <w:pPr>
              <w:pStyle w:val="TableEntry"/>
            </w:pPr>
            <w:r>
              <w:t>xs:string</w:t>
            </w:r>
          </w:p>
        </w:tc>
        <w:tc>
          <w:tcPr>
            <w:tcW w:w="696" w:type="dxa"/>
          </w:tcPr>
          <w:p w14:paraId="237766F1" w14:textId="77777777" w:rsidR="00C63F64" w:rsidRDefault="00BB6DBA" w:rsidP="00C63F64">
            <w:pPr>
              <w:pStyle w:val="TableEntry"/>
            </w:pPr>
            <w:r>
              <w:t>0..1</w:t>
            </w:r>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r>
              <w:t>SeasonTitleInternalAlias</w:t>
            </w:r>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r>
              <w:t>xs:string</w:t>
            </w:r>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r>
              <w:t>0..n</w:t>
            </w:r>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r>
              <w:t>SeasonNumber</w:t>
            </w:r>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r>
              <w:t>md:ContentSequenceInfo-type</w:t>
            </w:r>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r>
              <w:t>VersionDescription</w:t>
            </w:r>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r>
              <w:t>xs:string</w:t>
            </w:r>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r>
              <w:t>ReleaseDate</w:t>
            </w:r>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r>
              <w:t>Union(xs:gYear, xs:gYearMonth, xs:date)</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trPr>
        <w:tc>
          <w:tcPr>
            <w:tcW w:w="2872" w:type="dxa"/>
          </w:tcPr>
          <w:p w14:paraId="6B691236" w14:textId="77777777" w:rsidR="00C2171E" w:rsidRDefault="00C2171E" w:rsidP="004655B9">
            <w:pPr>
              <w:pStyle w:val="TableEntry"/>
            </w:pPr>
            <w:r>
              <w:lastRenderedPageBreak/>
              <w:t>ReleaseHistory</w:t>
            </w:r>
          </w:p>
        </w:tc>
        <w:tc>
          <w:tcPr>
            <w:tcW w:w="1166" w:type="dxa"/>
          </w:tcPr>
          <w:p w14:paraId="38EC9D79" w14:textId="77777777" w:rsidR="00C2171E" w:rsidRDefault="00C2171E" w:rsidP="004655B9">
            <w:pPr>
              <w:pStyle w:val="TableEntry"/>
            </w:pPr>
          </w:p>
        </w:tc>
        <w:tc>
          <w:tcPr>
            <w:tcW w:w="2464" w:type="dxa"/>
          </w:tcPr>
          <w:p w14:paraId="68620E89" w14:textId="77777777" w:rsidR="00C2171E" w:rsidRDefault="00C2171E" w:rsidP="004655B9">
            <w:pPr>
              <w:pStyle w:val="TableEntry"/>
            </w:pPr>
            <w:r>
              <w:t>History of release such as air dates or DVD release information. Defined in Common Metadata, 4.1.1.</w:t>
            </w:r>
          </w:p>
        </w:tc>
        <w:tc>
          <w:tcPr>
            <w:tcW w:w="2277" w:type="dxa"/>
          </w:tcPr>
          <w:p w14:paraId="14D486F9" w14:textId="77777777" w:rsidR="00C2171E" w:rsidRDefault="00C2171E" w:rsidP="004655B9">
            <w:pPr>
              <w:pStyle w:val="TableEntry"/>
            </w:pPr>
            <w:r>
              <w:t>md:ReleaseHistory-type</w:t>
            </w:r>
          </w:p>
        </w:tc>
        <w:tc>
          <w:tcPr>
            <w:tcW w:w="696" w:type="dxa"/>
          </w:tcPr>
          <w:p w14:paraId="384AB2D5" w14:textId="77777777" w:rsidR="00C2171E" w:rsidRDefault="00C2171E" w:rsidP="004655B9">
            <w:pPr>
              <w:pStyle w:val="TableEntry"/>
            </w:pPr>
            <w:r>
              <w:t>0..n</w:t>
            </w:r>
          </w:p>
        </w:tc>
      </w:tr>
      <w:tr w:rsidR="00C2171E" w14:paraId="4835A217" w14:textId="77777777" w:rsidTr="00C2171E">
        <w:tc>
          <w:tcPr>
            <w:tcW w:w="2872" w:type="dxa"/>
          </w:tcPr>
          <w:p w14:paraId="4575AB37" w14:textId="77777777" w:rsidR="00C2171E" w:rsidRDefault="00C2171E" w:rsidP="004655B9">
            <w:pPr>
              <w:pStyle w:val="TableEntry"/>
            </w:pPr>
            <w:r>
              <w:t>USACaptionsExemptionReason</w:t>
            </w:r>
          </w:p>
        </w:tc>
        <w:tc>
          <w:tcPr>
            <w:tcW w:w="1166" w:type="dxa"/>
          </w:tcPr>
          <w:p w14:paraId="4E362FB3" w14:textId="77777777" w:rsidR="00C2171E" w:rsidRDefault="00C2171E" w:rsidP="004655B9">
            <w:pPr>
              <w:pStyle w:val="TableEntry"/>
            </w:pPr>
          </w:p>
        </w:tc>
        <w:tc>
          <w:tcPr>
            <w:tcW w:w="2464" w:type="dxa"/>
          </w:tcPr>
          <w:p w14:paraId="0FD0D440"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required this element should be populated with a value defined below. </w:t>
            </w:r>
          </w:p>
        </w:tc>
        <w:tc>
          <w:tcPr>
            <w:tcW w:w="2277" w:type="dxa"/>
          </w:tcPr>
          <w:p w14:paraId="596B5624" w14:textId="77777777" w:rsidR="00C2171E" w:rsidRPr="009861BC" w:rsidRDefault="00C2171E" w:rsidP="004655B9">
            <w:pPr>
              <w:pStyle w:val="TableEntry"/>
            </w:pPr>
            <w:r>
              <w:t>xs:positiveInteger</w:t>
            </w:r>
          </w:p>
        </w:tc>
        <w:tc>
          <w:tcPr>
            <w:tcW w:w="696" w:type="dxa"/>
          </w:tcPr>
          <w:p w14:paraId="05D49A71" w14:textId="77777777" w:rsidR="00C2171E" w:rsidRDefault="00C2171E" w:rsidP="004655B9">
            <w:pPr>
              <w:pStyle w:val="TableEntry"/>
            </w:pPr>
            <w:r>
              <w:t>0..1</w:t>
            </w:r>
          </w:p>
        </w:tc>
      </w:tr>
      <w:tr w:rsidR="00C2171E" w14:paraId="08FD8DB0" w14:textId="77777777" w:rsidTr="00C2171E">
        <w:trPr>
          <w:cantSplit/>
        </w:trPr>
        <w:tc>
          <w:tcPr>
            <w:tcW w:w="2872" w:type="dxa"/>
          </w:tcPr>
          <w:p w14:paraId="4C98194E" w14:textId="77777777" w:rsidR="00C2171E" w:rsidRDefault="00C2171E" w:rsidP="004655B9">
            <w:pPr>
              <w:pStyle w:val="TableEntry"/>
            </w:pPr>
            <w:r>
              <w:t>Ratings</w:t>
            </w:r>
          </w:p>
        </w:tc>
        <w:tc>
          <w:tcPr>
            <w:tcW w:w="1166" w:type="dxa"/>
          </w:tcPr>
          <w:p w14:paraId="020FB416" w14:textId="77777777" w:rsidR="00C2171E" w:rsidRDefault="00C2171E" w:rsidP="004655B9">
            <w:pPr>
              <w:pStyle w:val="TableEntry"/>
            </w:pPr>
          </w:p>
        </w:tc>
        <w:tc>
          <w:tcPr>
            <w:tcW w:w="2464" w:type="dxa"/>
          </w:tcPr>
          <w:p w14:paraId="2F7C4EF0" w14:textId="77777777" w:rsidR="00C2171E" w:rsidRDefault="00C2171E" w:rsidP="004655B9">
            <w:pPr>
              <w:pStyle w:val="TableEntry"/>
            </w:pPr>
            <w:r>
              <w:t>Content Ratings.  Ratings from should comply with Common Ratings [CR].</w:t>
            </w:r>
          </w:p>
        </w:tc>
        <w:tc>
          <w:tcPr>
            <w:tcW w:w="2277" w:type="dxa"/>
          </w:tcPr>
          <w:p w14:paraId="4EED27B4" w14:textId="77777777" w:rsidR="00C2171E" w:rsidRDefault="00C2171E" w:rsidP="004655B9">
            <w:pPr>
              <w:pStyle w:val="TableEntry"/>
            </w:pPr>
            <w:r>
              <w:t>md:ContentRatings-type</w:t>
            </w:r>
          </w:p>
        </w:tc>
        <w:tc>
          <w:tcPr>
            <w:tcW w:w="696" w:type="dxa"/>
          </w:tcPr>
          <w:p w14:paraId="7B18FF0D" w14:textId="77777777" w:rsidR="00C2171E" w:rsidRDefault="00C2171E" w:rsidP="004655B9">
            <w:pPr>
              <w:pStyle w:val="TableEntry"/>
            </w:pPr>
            <w:r>
              <w:t>0..1</w:t>
            </w:r>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r>
              <w:t>SeasonAltIdentifier</w:t>
            </w:r>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r>
              <w:t>md:ContentIdentifier-type</w:t>
            </w:r>
          </w:p>
        </w:tc>
        <w:tc>
          <w:tcPr>
            <w:tcW w:w="696" w:type="dxa"/>
          </w:tcPr>
          <w:p w14:paraId="6C725D5F" w14:textId="77777777" w:rsidR="009C0153" w:rsidRDefault="009C0153" w:rsidP="009C0153">
            <w:pPr>
              <w:pStyle w:val="TableEntry"/>
            </w:pPr>
            <w:r>
              <w:t>0..n</w:t>
            </w:r>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r>
              <w:t>NumberOfEpisodes</w:t>
            </w:r>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r>
              <w:t>xs:positiveInteger</w:t>
            </w:r>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Indicates the number of episodes is estimated, particularly when a season is offered prior to the season being completely aired.  If present, it must be ‘true’.  If ‘true’ then NumberOfEpisodes is an estimate.</w:t>
            </w:r>
          </w:p>
        </w:tc>
        <w:tc>
          <w:tcPr>
            <w:tcW w:w="2277" w:type="dxa"/>
          </w:tcPr>
          <w:p w14:paraId="47CA8CE1" w14:textId="77777777" w:rsidR="009C0153" w:rsidRDefault="009C0153" w:rsidP="009C0153">
            <w:pPr>
              <w:pStyle w:val="TableEntry"/>
            </w:pPr>
            <w:r>
              <w:t>xs:boolean</w:t>
            </w:r>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r>
              <w:t>SeasonStatus</w:t>
            </w:r>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Indicates the current status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r>
              <w:t>xs:string</w:t>
            </w:r>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r>
              <w:t>SeriesMetadata</w:t>
            </w:r>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r>
              <w:t>Avails:AvailSeriesMetadata-type</w:t>
            </w:r>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r>
              <w:t>0..n</w:t>
            </w:r>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r>
        <w:t>SeasonStatus</w:t>
      </w:r>
      <w:r w:rsidR="001F413F">
        <w:t xml:space="preserve"> is encoded as following</w:t>
      </w:r>
    </w:p>
    <w:p w14:paraId="24CF15CD" w14:textId="77777777" w:rsidR="001F413F" w:rsidRDefault="001F413F" w:rsidP="000C595C">
      <w:pPr>
        <w:pStyle w:val="Body"/>
        <w:numPr>
          <w:ilvl w:val="0"/>
          <w:numId w:val="8"/>
        </w:numPr>
      </w:pPr>
      <w:r>
        <w:lastRenderedPageBreak/>
        <w:t>‘</w:t>
      </w:r>
      <w:r w:rsidR="000C595C">
        <w:t>Partial</w:t>
      </w:r>
      <w:r>
        <w:t xml:space="preserve"> – </w:t>
      </w:r>
      <w:r w:rsidR="000C595C">
        <w:t>Series was terminated</w:t>
      </w:r>
      <w:r w:rsidR="00F06B20">
        <w:t xml:space="preserve"> mid-season.  </w:t>
      </w:r>
      <w:r w:rsidR="00B222DD">
        <w:t xml:space="preserve">If still airing new episodes, </w:t>
      </w:r>
      <w:r w:rsidR="000C595C">
        <w:t>NumberOfEpisodes is the anticipated number of episodes that will be completed.</w:t>
      </w:r>
      <w:r>
        <w:t xml:space="preserve"> </w:t>
      </w:r>
    </w:p>
    <w:p w14:paraId="37841AA9" w14:textId="77777777" w:rsidR="0097443E" w:rsidRDefault="0097443E" w:rsidP="00062823">
      <w:pPr>
        <w:pStyle w:val="Heading4"/>
      </w:pPr>
      <w:r>
        <w:t>AvailSeriesMetadata-type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r>
              <w:rPr>
                <w:b/>
              </w:rPr>
              <w:t>AvailSeriesMetadata-type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r>
              <w:t>Series</w:t>
            </w:r>
            <w:r w:rsidR="001C491D">
              <w:t>Content</w:t>
            </w:r>
            <w:r>
              <w:t>ID</w:t>
            </w:r>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r>
              <w:t>md:id-type</w:t>
            </w:r>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r>
              <w:t>SeriesEIDR-</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r>
              <w:t>xs:anyURI</w:t>
            </w:r>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r>
              <w:t>SeriesTitleDisplayUnlimited</w:t>
            </w:r>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Title for series.  Same as Common Metadata TitleDisplayUnlimited for WorkType ‘Series.</w:t>
            </w:r>
          </w:p>
        </w:tc>
        <w:tc>
          <w:tcPr>
            <w:tcW w:w="2083" w:type="dxa"/>
          </w:tcPr>
          <w:p w14:paraId="3A6288E2" w14:textId="77777777" w:rsidR="001162D3" w:rsidRDefault="001162D3" w:rsidP="001162D3">
            <w:pPr>
              <w:pStyle w:val="TableEntry"/>
            </w:pPr>
            <w:r>
              <w:t>xs:string</w:t>
            </w:r>
          </w:p>
        </w:tc>
        <w:tc>
          <w:tcPr>
            <w:tcW w:w="724" w:type="dxa"/>
            <w:gridSpan w:val="2"/>
          </w:tcPr>
          <w:p w14:paraId="712A1586" w14:textId="77777777" w:rsidR="001162D3" w:rsidRDefault="00BB6DBA" w:rsidP="001162D3">
            <w:pPr>
              <w:pStyle w:val="TableEntry"/>
            </w:pPr>
            <w:r>
              <w:t>0..1</w:t>
            </w:r>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r>
              <w:t>SeriesTitleInternalAlias</w:t>
            </w:r>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Title for series in language mutually agreed upon by sender and receiver. Same as Core Metadata TitleInternalAlias</w:t>
            </w:r>
          </w:p>
        </w:tc>
        <w:tc>
          <w:tcPr>
            <w:tcW w:w="2083" w:type="dxa"/>
          </w:tcPr>
          <w:p w14:paraId="19ADC917" w14:textId="77777777" w:rsidR="004144A9" w:rsidRDefault="009C0153" w:rsidP="001162D3">
            <w:pPr>
              <w:pStyle w:val="TableEntry"/>
            </w:pPr>
            <w:r>
              <w:t>xs:string</w:t>
            </w:r>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r>
              <w:t>LocalSeriesTitle</w:t>
            </w:r>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Local series title, if applicable. Same as Common Metadata TitleDisplayUnlimited for WorkType ‘Series’</w:t>
            </w:r>
          </w:p>
        </w:tc>
        <w:tc>
          <w:tcPr>
            <w:tcW w:w="2083" w:type="dxa"/>
          </w:tcPr>
          <w:p w14:paraId="2F837C05" w14:textId="77777777" w:rsidR="001162D3" w:rsidRDefault="001162D3" w:rsidP="001162D3">
            <w:pPr>
              <w:pStyle w:val="TableEntry"/>
            </w:pPr>
            <w:r>
              <w:t>xs:string</w:t>
            </w:r>
          </w:p>
        </w:tc>
        <w:tc>
          <w:tcPr>
            <w:tcW w:w="724" w:type="dxa"/>
            <w:gridSpan w:val="2"/>
          </w:tcPr>
          <w:p w14:paraId="6239AB33" w14:textId="77777777" w:rsidR="001162D3" w:rsidRDefault="001162D3" w:rsidP="001162D3">
            <w:pPr>
              <w:pStyle w:val="TableEntry"/>
            </w:pPr>
            <w:r>
              <w:t>0..n</w:t>
            </w:r>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r>
              <w:t>xs:language</w:t>
            </w:r>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r>
              <w:t>VersionDescription</w:t>
            </w:r>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r>
              <w:t>xs:string</w:t>
            </w:r>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r>
              <w:t>ReleaseDate</w:t>
            </w:r>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r>
              <w:t>Union(xs:gYear, xs:gYearMonth, xs:date)</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trPr>
        <w:tc>
          <w:tcPr>
            <w:tcW w:w="2569" w:type="dxa"/>
          </w:tcPr>
          <w:p w14:paraId="518E72BA" w14:textId="77777777" w:rsidR="00C2171E" w:rsidRDefault="00C2171E" w:rsidP="004655B9">
            <w:pPr>
              <w:pStyle w:val="TableEntry"/>
            </w:pPr>
            <w:r>
              <w:t>ReleaseHistory</w:t>
            </w:r>
          </w:p>
        </w:tc>
        <w:tc>
          <w:tcPr>
            <w:tcW w:w="1174" w:type="dxa"/>
          </w:tcPr>
          <w:p w14:paraId="60D424D5" w14:textId="77777777" w:rsidR="00C2171E" w:rsidRDefault="00C2171E" w:rsidP="004655B9">
            <w:pPr>
              <w:pStyle w:val="TableEntry"/>
            </w:pPr>
          </w:p>
        </w:tc>
        <w:tc>
          <w:tcPr>
            <w:tcW w:w="2925" w:type="dxa"/>
          </w:tcPr>
          <w:p w14:paraId="4595E25C" w14:textId="77777777" w:rsidR="00C2171E" w:rsidRDefault="00C2171E" w:rsidP="004655B9">
            <w:pPr>
              <w:pStyle w:val="TableEntry"/>
            </w:pPr>
            <w:r>
              <w:t>History of release such as air dates or DVD release information. Defined in Common Metadata, 4.1.1.</w:t>
            </w:r>
          </w:p>
        </w:tc>
        <w:tc>
          <w:tcPr>
            <w:tcW w:w="2116" w:type="dxa"/>
            <w:gridSpan w:val="2"/>
          </w:tcPr>
          <w:p w14:paraId="2219BB3D" w14:textId="77777777" w:rsidR="00C2171E" w:rsidRDefault="00C2171E" w:rsidP="004655B9">
            <w:pPr>
              <w:pStyle w:val="TableEntry"/>
            </w:pPr>
            <w:r>
              <w:t>md:ReleaseHistory-type</w:t>
            </w:r>
          </w:p>
        </w:tc>
        <w:tc>
          <w:tcPr>
            <w:tcW w:w="691" w:type="dxa"/>
          </w:tcPr>
          <w:p w14:paraId="5030E881" w14:textId="77777777" w:rsidR="00C2171E" w:rsidRDefault="00C2171E" w:rsidP="004655B9">
            <w:pPr>
              <w:pStyle w:val="TableEntry"/>
            </w:pPr>
            <w:r>
              <w:t>0..n</w:t>
            </w:r>
          </w:p>
        </w:tc>
      </w:tr>
      <w:tr w:rsidR="00C2171E" w14:paraId="760AEE63" w14:textId="77777777" w:rsidTr="00C2171E">
        <w:tc>
          <w:tcPr>
            <w:tcW w:w="2569" w:type="dxa"/>
          </w:tcPr>
          <w:p w14:paraId="65B6D06F" w14:textId="77777777" w:rsidR="00C2171E" w:rsidRDefault="00C2171E" w:rsidP="004655B9">
            <w:pPr>
              <w:pStyle w:val="TableEntry"/>
            </w:pPr>
            <w:r>
              <w:lastRenderedPageBreak/>
              <w:t>USACaptionsExemptionReason</w:t>
            </w:r>
          </w:p>
        </w:tc>
        <w:tc>
          <w:tcPr>
            <w:tcW w:w="1174" w:type="dxa"/>
          </w:tcPr>
          <w:p w14:paraId="31671083" w14:textId="77777777" w:rsidR="00C2171E" w:rsidRDefault="00C2171E" w:rsidP="004655B9">
            <w:pPr>
              <w:pStyle w:val="TableEntry"/>
            </w:pPr>
          </w:p>
        </w:tc>
        <w:tc>
          <w:tcPr>
            <w:tcW w:w="2925" w:type="dxa"/>
          </w:tcPr>
          <w:p w14:paraId="59F1316D"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required this element should be populated with a value defined below. </w:t>
            </w:r>
          </w:p>
        </w:tc>
        <w:tc>
          <w:tcPr>
            <w:tcW w:w="2116" w:type="dxa"/>
            <w:gridSpan w:val="2"/>
          </w:tcPr>
          <w:p w14:paraId="15021983" w14:textId="77777777" w:rsidR="00C2171E" w:rsidRPr="009861BC" w:rsidRDefault="00C2171E" w:rsidP="004655B9">
            <w:pPr>
              <w:pStyle w:val="TableEntry"/>
            </w:pPr>
            <w:r>
              <w:t>xs:positiveInteger</w:t>
            </w:r>
          </w:p>
        </w:tc>
        <w:tc>
          <w:tcPr>
            <w:tcW w:w="691" w:type="dxa"/>
          </w:tcPr>
          <w:p w14:paraId="0C99742F" w14:textId="77777777" w:rsidR="00C2171E" w:rsidRDefault="00C2171E" w:rsidP="004655B9">
            <w:pPr>
              <w:pStyle w:val="TableEntry"/>
            </w:pPr>
            <w:r>
              <w:t>0..1</w:t>
            </w:r>
          </w:p>
        </w:tc>
      </w:tr>
      <w:tr w:rsidR="00C2171E" w14:paraId="1105506C" w14:textId="77777777" w:rsidTr="00C2171E">
        <w:trPr>
          <w:cantSplit/>
        </w:trPr>
        <w:tc>
          <w:tcPr>
            <w:tcW w:w="2569" w:type="dxa"/>
          </w:tcPr>
          <w:p w14:paraId="1C683877" w14:textId="77777777" w:rsidR="00C2171E" w:rsidRDefault="00C2171E" w:rsidP="004655B9">
            <w:pPr>
              <w:pStyle w:val="TableEntry"/>
            </w:pPr>
            <w:r>
              <w:t>Ratings</w:t>
            </w:r>
          </w:p>
        </w:tc>
        <w:tc>
          <w:tcPr>
            <w:tcW w:w="1174" w:type="dxa"/>
          </w:tcPr>
          <w:p w14:paraId="654AE14E" w14:textId="77777777" w:rsidR="00C2171E" w:rsidRDefault="00C2171E" w:rsidP="004655B9">
            <w:pPr>
              <w:pStyle w:val="TableEntry"/>
            </w:pPr>
          </w:p>
        </w:tc>
        <w:tc>
          <w:tcPr>
            <w:tcW w:w="2925" w:type="dxa"/>
          </w:tcPr>
          <w:p w14:paraId="04B25065" w14:textId="77777777" w:rsidR="00C2171E" w:rsidRDefault="00C2171E" w:rsidP="004655B9">
            <w:pPr>
              <w:pStyle w:val="TableEntry"/>
            </w:pPr>
            <w:r>
              <w:t>Content Ratings.  Ratings from should comply with Common Ratings [CR].</w:t>
            </w:r>
          </w:p>
        </w:tc>
        <w:tc>
          <w:tcPr>
            <w:tcW w:w="2116" w:type="dxa"/>
            <w:gridSpan w:val="2"/>
          </w:tcPr>
          <w:p w14:paraId="47C2EB1D" w14:textId="77777777" w:rsidR="00C2171E" w:rsidRDefault="00C2171E" w:rsidP="004655B9">
            <w:pPr>
              <w:pStyle w:val="TableEntry"/>
            </w:pPr>
            <w:r>
              <w:t>md:ContentRatings-type</w:t>
            </w:r>
          </w:p>
        </w:tc>
        <w:tc>
          <w:tcPr>
            <w:tcW w:w="691" w:type="dxa"/>
          </w:tcPr>
          <w:p w14:paraId="1BC288C3" w14:textId="77777777" w:rsidR="00C2171E" w:rsidRDefault="00C2171E" w:rsidP="004655B9">
            <w:pPr>
              <w:pStyle w:val="TableEntry"/>
            </w:pPr>
            <w:r>
              <w:t>0..1</w:t>
            </w:r>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r>
              <w:t>SeriesAltIdentifier</w:t>
            </w:r>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r>
              <w:t>md:ContentIdentifier-type</w:t>
            </w:r>
          </w:p>
        </w:tc>
        <w:tc>
          <w:tcPr>
            <w:tcW w:w="724" w:type="dxa"/>
            <w:gridSpan w:val="2"/>
          </w:tcPr>
          <w:p w14:paraId="347EE8EF" w14:textId="77777777" w:rsidR="001162D3" w:rsidRDefault="001162D3" w:rsidP="001162D3">
            <w:pPr>
              <w:pStyle w:val="TableEntry"/>
            </w:pPr>
            <w:r>
              <w:t>0..n</w:t>
            </w:r>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r>
              <w:t>NumberOfSeasons</w:t>
            </w:r>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r>
              <w:t>xs:positiveInteger</w:t>
            </w:r>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r>
              <w:t>SeriesStatus</w:t>
            </w:r>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current status of the series (see below). If absent, </w:t>
            </w:r>
            <w:r w:rsidR="00F06B20">
              <w:t>‘Pending’ is assumed.</w:t>
            </w:r>
          </w:p>
        </w:tc>
        <w:tc>
          <w:tcPr>
            <w:tcW w:w="2083" w:type="dxa"/>
          </w:tcPr>
          <w:p w14:paraId="52BE3F17" w14:textId="77777777" w:rsidR="000C595C" w:rsidRDefault="000C595C" w:rsidP="000C595C">
            <w:pPr>
              <w:pStyle w:val="TableEntry"/>
            </w:pPr>
            <w:r>
              <w:t>xs:string</w:t>
            </w:r>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r>
              <w:t>CompanyDisplayCredit</w:t>
            </w:r>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Information about grouping content into storefronts based on organizations such as studio or broadcaster.  Equivalent to ComapnyDisplayCredits in Media Entertainment Core (MEC).</w:t>
            </w:r>
          </w:p>
        </w:tc>
        <w:tc>
          <w:tcPr>
            <w:tcW w:w="2083" w:type="dxa"/>
          </w:tcPr>
          <w:p w14:paraId="3C0DD1FC" w14:textId="77777777" w:rsidR="000C595C" w:rsidRDefault="000C595C" w:rsidP="000C595C">
            <w:pPr>
              <w:pStyle w:val="TableEntry"/>
            </w:pPr>
            <w:r>
              <w:t>md:CompanyCredits-type</w:t>
            </w:r>
          </w:p>
        </w:tc>
        <w:tc>
          <w:tcPr>
            <w:tcW w:w="724" w:type="dxa"/>
            <w:gridSpan w:val="2"/>
          </w:tcPr>
          <w:p w14:paraId="793D8DAE" w14:textId="77777777" w:rsidR="000C595C" w:rsidRDefault="000C595C" w:rsidP="000C595C">
            <w:pPr>
              <w:pStyle w:val="TableEntry"/>
            </w:pPr>
            <w:r>
              <w:t>0..n</w:t>
            </w:r>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r>
              <w:t>0..n</w:t>
            </w:r>
          </w:p>
        </w:tc>
      </w:tr>
    </w:tbl>
    <w:p w14:paraId="5A1133F8" w14:textId="77777777" w:rsidR="00315276" w:rsidRDefault="00315276" w:rsidP="00315276">
      <w:pPr>
        <w:pStyle w:val="Body"/>
      </w:pPr>
      <w:bookmarkStart w:id="105" w:name="_Toc340780656"/>
      <w:r>
        <w:t>SeriesStatus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pPr>
      <w:r>
        <w:t>AvailBundledAsset-type</w:t>
      </w:r>
    </w:p>
    <w:p w14:paraId="5B6EA101" w14:textId="77777777" w:rsidR="00856916" w:rsidRDefault="00856916" w:rsidP="00856916">
      <w:pPr>
        <w:pStyle w:val="Body"/>
      </w:pPr>
      <w:r>
        <w:t xml:space="preserve">This complex type is used reference assets that are part of a Bundle.  By definition, Bundles are collections of other products, although those assets are not necessarily being availed at the moment. </w:t>
      </w:r>
    </w:p>
    <w:p w14:paraId="3E23830C" w14:textId="77777777" w:rsidR="00856916" w:rsidRDefault="00856916" w:rsidP="00856916">
      <w:pPr>
        <w:pStyle w:val="Body"/>
      </w:pPr>
      <w:r>
        <w:t>Information co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c>
          <w:tcPr>
            <w:tcW w:w="1795" w:type="dxa"/>
          </w:tcPr>
          <w:p w14:paraId="73673B79" w14:textId="77777777" w:rsidR="0081143A" w:rsidRPr="007D04D7" w:rsidRDefault="0081143A" w:rsidP="00F20A4F">
            <w:pPr>
              <w:pStyle w:val="TableEntry"/>
              <w:keepNext/>
              <w:rPr>
                <w:b/>
              </w:rPr>
            </w:pPr>
            <w:r w:rsidRPr="007D04D7">
              <w:rPr>
                <w:b/>
              </w:rPr>
              <w:lastRenderedPageBreak/>
              <w:t>Element</w:t>
            </w:r>
          </w:p>
        </w:tc>
        <w:tc>
          <w:tcPr>
            <w:tcW w:w="1260" w:type="dxa"/>
          </w:tcPr>
          <w:p w14:paraId="5A61822C" w14:textId="77777777" w:rsidR="0081143A" w:rsidRPr="007D04D7" w:rsidRDefault="0081143A" w:rsidP="00F20A4F">
            <w:pPr>
              <w:pStyle w:val="TableEntry"/>
              <w:keepNext/>
              <w:rPr>
                <w:b/>
              </w:rPr>
            </w:pPr>
            <w:r w:rsidRPr="007D04D7">
              <w:rPr>
                <w:b/>
              </w:rPr>
              <w:t>Attribute</w:t>
            </w:r>
          </w:p>
        </w:tc>
        <w:tc>
          <w:tcPr>
            <w:tcW w:w="3960" w:type="dxa"/>
          </w:tcPr>
          <w:p w14:paraId="69CBBD81" w14:textId="77777777" w:rsidR="0081143A" w:rsidRPr="007D04D7" w:rsidRDefault="0081143A" w:rsidP="00F20A4F">
            <w:pPr>
              <w:pStyle w:val="TableEntry"/>
              <w:keepNext/>
              <w:rPr>
                <w:b/>
              </w:rPr>
            </w:pPr>
            <w:r w:rsidRPr="007D04D7">
              <w:rPr>
                <w:b/>
              </w:rPr>
              <w:t>Definition</w:t>
            </w:r>
          </w:p>
        </w:tc>
        <w:tc>
          <w:tcPr>
            <w:tcW w:w="1440" w:type="dxa"/>
          </w:tcPr>
          <w:p w14:paraId="4831F0CE" w14:textId="77777777" w:rsidR="0081143A" w:rsidRPr="007D04D7" w:rsidRDefault="0081143A" w:rsidP="00F20A4F">
            <w:pPr>
              <w:pStyle w:val="TableEntry"/>
              <w:keepNext/>
              <w:rPr>
                <w:b/>
              </w:rPr>
            </w:pPr>
            <w:r w:rsidRPr="007D04D7">
              <w:rPr>
                <w:b/>
              </w:rPr>
              <w:t>Value</w:t>
            </w:r>
          </w:p>
        </w:tc>
        <w:tc>
          <w:tcPr>
            <w:tcW w:w="1020" w:type="dxa"/>
          </w:tcPr>
          <w:p w14:paraId="3EEFDABD" w14:textId="77777777" w:rsidR="0081143A" w:rsidRPr="007D04D7" w:rsidRDefault="0081143A" w:rsidP="00F20A4F">
            <w:pPr>
              <w:pStyle w:val="TableEntry"/>
              <w:keepNext/>
              <w:rPr>
                <w:b/>
              </w:rPr>
            </w:pPr>
            <w:r w:rsidRPr="007D04D7">
              <w:rPr>
                <w:b/>
              </w:rPr>
              <w:t>Card.</w:t>
            </w:r>
          </w:p>
        </w:tc>
      </w:tr>
      <w:tr w:rsidR="0081143A" w14:paraId="7CCE6CCA" w14:textId="77777777" w:rsidTr="00F20A4F">
        <w:tc>
          <w:tcPr>
            <w:tcW w:w="1795" w:type="dxa"/>
          </w:tcPr>
          <w:p w14:paraId="39E4060B" w14:textId="77777777" w:rsidR="0081143A" w:rsidRPr="007D04D7" w:rsidRDefault="0081143A" w:rsidP="00F20A4F">
            <w:pPr>
              <w:pStyle w:val="TableEntry"/>
              <w:rPr>
                <w:b/>
              </w:rPr>
            </w:pPr>
            <w:r>
              <w:rPr>
                <w:b/>
              </w:rPr>
              <w:t>AvailBundledAsset-type</w:t>
            </w:r>
          </w:p>
        </w:tc>
        <w:tc>
          <w:tcPr>
            <w:tcW w:w="1260" w:type="dxa"/>
          </w:tcPr>
          <w:p w14:paraId="7BC8A943" w14:textId="77777777" w:rsidR="0081143A" w:rsidRPr="0000320B" w:rsidRDefault="0081143A" w:rsidP="00F20A4F">
            <w:pPr>
              <w:pStyle w:val="TableEntry"/>
            </w:pPr>
          </w:p>
        </w:tc>
        <w:tc>
          <w:tcPr>
            <w:tcW w:w="3960" w:type="dxa"/>
          </w:tcPr>
          <w:p w14:paraId="5C12644D" w14:textId="77777777" w:rsidR="0081143A" w:rsidRDefault="0081143A" w:rsidP="00F20A4F">
            <w:pPr>
              <w:pStyle w:val="TableEntry"/>
              <w:rPr>
                <w:lang w:bidi="en-US"/>
              </w:rPr>
            </w:pPr>
          </w:p>
        </w:tc>
        <w:tc>
          <w:tcPr>
            <w:tcW w:w="1440" w:type="dxa"/>
          </w:tcPr>
          <w:p w14:paraId="489ECCA4" w14:textId="77777777" w:rsidR="0081143A" w:rsidRDefault="0081143A" w:rsidP="00F20A4F">
            <w:pPr>
              <w:pStyle w:val="TableEntry"/>
            </w:pPr>
          </w:p>
        </w:tc>
        <w:tc>
          <w:tcPr>
            <w:tcW w:w="1020" w:type="dxa"/>
          </w:tcPr>
          <w:p w14:paraId="0F1D9449" w14:textId="77777777" w:rsidR="0081143A" w:rsidRDefault="0081143A" w:rsidP="00F20A4F">
            <w:pPr>
              <w:pStyle w:val="TableEntry"/>
            </w:pPr>
          </w:p>
        </w:tc>
      </w:tr>
      <w:tr w:rsidR="0081143A" w14:paraId="1E6718C6" w14:textId="77777777" w:rsidTr="00F20A4F">
        <w:tc>
          <w:tcPr>
            <w:tcW w:w="1795" w:type="dxa"/>
          </w:tcPr>
          <w:p w14:paraId="16306B09" w14:textId="77777777" w:rsidR="0081143A" w:rsidRDefault="0081143A" w:rsidP="00F20A4F">
            <w:pPr>
              <w:pStyle w:val="TableEntry"/>
            </w:pPr>
            <w:r>
              <w:t>BundledALID</w:t>
            </w:r>
          </w:p>
        </w:tc>
        <w:tc>
          <w:tcPr>
            <w:tcW w:w="1260" w:type="dxa"/>
          </w:tcPr>
          <w:p w14:paraId="5A86F03D" w14:textId="77777777" w:rsidR="0081143A" w:rsidRDefault="0081143A" w:rsidP="00F20A4F">
            <w:pPr>
              <w:pStyle w:val="TableEntry"/>
            </w:pPr>
          </w:p>
        </w:tc>
        <w:tc>
          <w:tcPr>
            <w:tcW w:w="3960" w:type="dxa"/>
          </w:tcPr>
          <w:p w14:paraId="05BB484E" w14:textId="77777777" w:rsidR="0081143A" w:rsidRDefault="0081143A" w:rsidP="00F20A4F">
            <w:pPr>
              <w:pStyle w:val="TableEntry"/>
            </w:pPr>
            <w:r>
              <w:t>Reference to the Logical Asset that is being bundled.</w:t>
            </w:r>
          </w:p>
        </w:tc>
        <w:tc>
          <w:tcPr>
            <w:tcW w:w="1440" w:type="dxa"/>
          </w:tcPr>
          <w:p w14:paraId="7CD17A46" w14:textId="77777777" w:rsidR="0081143A" w:rsidRDefault="0081143A" w:rsidP="00F20A4F">
            <w:pPr>
              <w:pStyle w:val="TableEntry"/>
            </w:pPr>
            <w:r>
              <w:t>md:LogicalAsset-type</w:t>
            </w:r>
          </w:p>
        </w:tc>
        <w:tc>
          <w:tcPr>
            <w:tcW w:w="1020" w:type="dxa"/>
          </w:tcPr>
          <w:p w14:paraId="0B4CDA80" w14:textId="77777777" w:rsidR="0081143A" w:rsidRDefault="0081143A" w:rsidP="00F20A4F">
            <w:pPr>
              <w:pStyle w:val="TableEntry"/>
            </w:pPr>
          </w:p>
        </w:tc>
      </w:tr>
      <w:tr w:rsidR="0081143A" w14:paraId="457D75D3" w14:textId="77777777" w:rsidTr="00F20A4F">
        <w:tc>
          <w:tcPr>
            <w:tcW w:w="1795" w:type="dxa"/>
          </w:tcPr>
          <w:p w14:paraId="742E2736" w14:textId="77777777" w:rsidR="0081143A" w:rsidRDefault="0081143A" w:rsidP="00F20A4F">
            <w:pPr>
              <w:pStyle w:val="TableEntry"/>
            </w:pPr>
            <w:r>
              <w:t>SharedEntitlement</w:t>
            </w:r>
          </w:p>
        </w:tc>
        <w:tc>
          <w:tcPr>
            <w:tcW w:w="1260" w:type="dxa"/>
          </w:tcPr>
          <w:p w14:paraId="29A3472B" w14:textId="77777777" w:rsidR="0081143A" w:rsidRDefault="0081143A" w:rsidP="00F20A4F">
            <w:pPr>
              <w:pStyle w:val="TableEntry"/>
            </w:pPr>
          </w:p>
        </w:tc>
        <w:tc>
          <w:tcPr>
            <w:tcW w:w="3960" w:type="dxa"/>
          </w:tcPr>
          <w:p w14:paraId="77EDFC88" w14:textId="77777777" w:rsidR="0081143A" w:rsidRDefault="0081143A" w:rsidP="00F20A4F">
            <w:pPr>
              <w:pStyle w:val="TableEntry"/>
            </w:pPr>
            <w:r>
              <w:t>Identifiers used for shared entitlement systems associated with this bundled asset, if applicable.</w:t>
            </w:r>
          </w:p>
        </w:tc>
        <w:tc>
          <w:tcPr>
            <w:tcW w:w="1440" w:type="dxa"/>
          </w:tcPr>
          <w:p w14:paraId="7FFDEB48" w14:textId="77777777" w:rsidR="0081143A" w:rsidRDefault="0081143A" w:rsidP="00F20A4F">
            <w:pPr>
              <w:pStyle w:val="TableEntry"/>
            </w:pPr>
            <w:r>
              <w:t>md:AvailSharedEntitlement-type</w:t>
            </w:r>
          </w:p>
        </w:tc>
        <w:tc>
          <w:tcPr>
            <w:tcW w:w="1020" w:type="dxa"/>
          </w:tcPr>
          <w:p w14:paraId="4B382F5A" w14:textId="77777777" w:rsidR="0081143A" w:rsidRDefault="0081143A" w:rsidP="00F20A4F">
            <w:pPr>
              <w:pStyle w:val="TableEntry"/>
            </w:pPr>
            <w:r>
              <w:t>0..n</w:t>
            </w:r>
          </w:p>
        </w:tc>
      </w:tr>
      <w:tr w:rsidR="00A82668" w14:paraId="37961029" w14:textId="77777777" w:rsidTr="00F20A4F">
        <w:tc>
          <w:tcPr>
            <w:tcW w:w="1795" w:type="dxa"/>
          </w:tcPr>
          <w:p w14:paraId="791DE93B" w14:textId="77777777" w:rsidR="00A82668" w:rsidRDefault="00A82668" w:rsidP="00F20A4F">
            <w:pPr>
              <w:pStyle w:val="TableEntry"/>
            </w:pPr>
            <w:r>
              <w:t>ShortDescription</w:t>
            </w:r>
          </w:p>
        </w:tc>
        <w:tc>
          <w:tcPr>
            <w:tcW w:w="1260" w:type="dxa"/>
          </w:tcPr>
          <w:p w14:paraId="0B896483" w14:textId="77777777" w:rsidR="00A82668" w:rsidRDefault="00A82668" w:rsidP="00F20A4F">
            <w:pPr>
              <w:pStyle w:val="TableEntry"/>
            </w:pPr>
          </w:p>
        </w:tc>
        <w:tc>
          <w:tcPr>
            <w:tcW w:w="3960" w:type="dxa"/>
          </w:tcPr>
          <w:p w14:paraId="30E1B49B" w14:textId="77777777" w:rsidR="00A82668" w:rsidRDefault="00A82668" w:rsidP="00F20A4F">
            <w:pPr>
              <w:pStyle w:val="TableEntry"/>
            </w:pPr>
            <w:r>
              <w:t>Short Description for Avail associated with ALID. This is used for human readability and quality control.</w:t>
            </w:r>
          </w:p>
        </w:tc>
        <w:tc>
          <w:tcPr>
            <w:tcW w:w="1440" w:type="dxa"/>
          </w:tcPr>
          <w:p w14:paraId="5DDA6EEE" w14:textId="77777777" w:rsidR="00A82668" w:rsidRDefault="00A82668" w:rsidP="00F20A4F">
            <w:pPr>
              <w:pStyle w:val="TableEntry"/>
            </w:pPr>
            <w:r>
              <w:t>xs:string</w:t>
            </w:r>
          </w:p>
        </w:tc>
        <w:tc>
          <w:tcPr>
            <w:tcW w:w="1020" w:type="dxa"/>
          </w:tcPr>
          <w:p w14:paraId="1FDE8B63" w14:textId="77777777" w:rsidR="00A82668" w:rsidRDefault="00A82668" w:rsidP="00F20A4F">
            <w:pPr>
              <w:pStyle w:val="TableEntry"/>
            </w:pPr>
            <w:r>
              <w:t>0..1</w:t>
            </w:r>
          </w:p>
        </w:tc>
      </w:tr>
    </w:tbl>
    <w:p w14:paraId="12F6BB68" w14:textId="77777777" w:rsidR="0081143A" w:rsidRDefault="0081143A" w:rsidP="00856916">
      <w:pPr>
        <w:pStyle w:val="Body"/>
      </w:pPr>
    </w:p>
    <w:p w14:paraId="1E803556" w14:textId="77777777" w:rsidR="0097443E" w:rsidRDefault="0097443E" w:rsidP="0097443E">
      <w:pPr>
        <w:pStyle w:val="Heading3"/>
      </w:pPr>
      <w:bookmarkStart w:id="106" w:name="_Toc432473481"/>
      <w:bookmarkStart w:id="107" w:name="_Toc467013492"/>
      <w:r>
        <w:t>AvailTrans-type</w:t>
      </w:r>
      <w:bookmarkEnd w:id="105"/>
      <w:bookmarkEnd w:id="106"/>
      <w:bookmarkEnd w:id="107"/>
    </w:p>
    <w:p w14:paraId="378AF2B1" w14:textId="77777777" w:rsidR="004627F4" w:rsidRPr="004627F4" w:rsidRDefault="004627F4" w:rsidP="004627F4">
      <w:pPr>
        <w:pStyle w:val="Body"/>
      </w:pPr>
      <w:r>
        <w:t>AvailTrans-type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r>
              <w:rPr>
                <w:b/>
              </w:rPr>
              <w:t>AvailTrans-type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r>
              <w:t>TransactionID</w:t>
            </w:r>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within AvailLIst</w:t>
            </w:r>
            <w:r w:rsidR="007C157A">
              <w:t>.</w:t>
            </w:r>
            <w:r>
              <w:t xml:space="preserve">  It should be globally unique.</w:t>
            </w:r>
          </w:p>
        </w:tc>
        <w:tc>
          <w:tcPr>
            <w:tcW w:w="1440" w:type="dxa"/>
          </w:tcPr>
          <w:p w14:paraId="5BD9D0BD" w14:textId="77777777" w:rsidR="007C157A" w:rsidRDefault="004627F4" w:rsidP="00EC0F69">
            <w:pPr>
              <w:pStyle w:val="TableEntry"/>
            </w:pPr>
            <w:r>
              <w:t>md:id-type</w:t>
            </w:r>
          </w:p>
        </w:tc>
        <w:tc>
          <w:tcPr>
            <w:tcW w:w="1020" w:type="dxa"/>
          </w:tcPr>
          <w:p w14:paraId="4E29C471" w14:textId="77777777" w:rsidR="007C157A" w:rsidRDefault="002C6CBF" w:rsidP="00EC0F69">
            <w:pPr>
              <w:pStyle w:val="TableEntry"/>
            </w:pPr>
            <w:r>
              <w:t>0..1</w:t>
            </w:r>
          </w:p>
        </w:tc>
      </w:tr>
      <w:tr w:rsidR="0097443E" w:rsidRPr="0000320B" w14:paraId="7905BDD4" w14:textId="77777777" w:rsidTr="00393C4A">
        <w:tc>
          <w:tcPr>
            <w:tcW w:w="1795" w:type="dxa"/>
          </w:tcPr>
          <w:p w14:paraId="516BE5C9" w14:textId="77777777" w:rsidR="0097443E" w:rsidRDefault="00D65B9B" w:rsidP="00EC0F69">
            <w:pPr>
              <w:pStyle w:val="TableEntry"/>
            </w:pPr>
            <w:r>
              <w:t>License</w:t>
            </w:r>
            <w:r w:rsidR="0097443E">
              <w:t>Type</w:t>
            </w:r>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r>
              <w:t>xs:string</w:t>
            </w:r>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r>
              <w:t>xs:string</w:t>
            </w:r>
          </w:p>
        </w:tc>
        <w:tc>
          <w:tcPr>
            <w:tcW w:w="1020" w:type="dxa"/>
          </w:tcPr>
          <w:p w14:paraId="1C95452C" w14:textId="77777777" w:rsidR="0097443E" w:rsidRDefault="00C943A1" w:rsidP="00EC0F69">
            <w:pPr>
              <w:pStyle w:val="TableEntry"/>
            </w:pPr>
            <w:r>
              <w:t>0..1</w:t>
            </w:r>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r w:rsidR="009C0153">
              <w:t>Territory</w:t>
            </w:r>
            <w:r>
              <w:t>Excluded are absent, default is worldwide.</w:t>
            </w:r>
          </w:p>
        </w:tc>
        <w:tc>
          <w:tcPr>
            <w:tcW w:w="1440" w:type="dxa"/>
          </w:tcPr>
          <w:p w14:paraId="742E015A" w14:textId="77777777" w:rsidR="0097443E" w:rsidRDefault="0097443E" w:rsidP="00EC0F69">
            <w:pPr>
              <w:pStyle w:val="TableEntry"/>
            </w:pPr>
            <w:r>
              <w:t>md:Region-type</w:t>
            </w:r>
          </w:p>
        </w:tc>
        <w:tc>
          <w:tcPr>
            <w:tcW w:w="1020" w:type="dxa"/>
          </w:tcPr>
          <w:p w14:paraId="23F6CF56" w14:textId="77777777" w:rsidR="0097443E" w:rsidRDefault="0097443E" w:rsidP="00EC0F69">
            <w:pPr>
              <w:pStyle w:val="TableEntry"/>
            </w:pPr>
            <w:r>
              <w:t>0..n</w:t>
            </w:r>
          </w:p>
        </w:tc>
      </w:tr>
      <w:tr w:rsidR="00811775" w:rsidRPr="0000320B" w14:paraId="61F8294B" w14:textId="77777777" w:rsidTr="00393C4A">
        <w:tc>
          <w:tcPr>
            <w:tcW w:w="1795" w:type="dxa"/>
          </w:tcPr>
          <w:p w14:paraId="255BDD9F" w14:textId="77777777" w:rsidR="00811775" w:rsidRDefault="009C0153" w:rsidP="00EC0F69">
            <w:pPr>
              <w:pStyle w:val="TableEntry"/>
            </w:pPr>
            <w:r>
              <w:t>Territory</w:t>
            </w:r>
            <w:r w:rsidR="00811775">
              <w:t>Excluded</w:t>
            </w:r>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r>
              <w:t>md:Region-type</w:t>
            </w:r>
          </w:p>
        </w:tc>
        <w:tc>
          <w:tcPr>
            <w:tcW w:w="1020" w:type="dxa"/>
          </w:tcPr>
          <w:p w14:paraId="02D5DFD2" w14:textId="77777777" w:rsidR="00811775" w:rsidRDefault="00811775" w:rsidP="00EC0F69">
            <w:pPr>
              <w:pStyle w:val="TableEntry"/>
            </w:pPr>
            <w:r>
              <w:t>0..n</w:t>
            </w:r>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57BAD44B"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E20D6C">
              <w:t>1.8</w:t>
            </w:r>
            <w:r>
              <w:fldChar w:fldCharType="end"/>
            </w:r>
            <w:r>
              <w:t>.</w:t>
            </w:r>
          </w:p>
        </w:tc>
        <w:tc>
          <w:tcPr>
            <w:tcW w:w="1440" w:type="dxa"/>
          </w:tcPr>
          <w:p w14:paraId="6BD6EB35" w14:textId="77777777" w:rsidR="001D3C72" w:rsidRPr="00402893" w:rsidRDefault="001D3C72" w:rsidP="00CB09C0">
            <w:pPr>
              <w:pStyle w:val="TableEntry"/>
            </w:pPr>
            <w:r>
              <w:t>xs:dateTime</w:t>
            </w:r>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r>
              <w:t>StartCondition</w:t>
            </w:r>
          </w:p>
        </w:tc>
        <w:tc>
          <w:tcPr>
            <w:tcW w:w="1260" w:type="dxa"/>
          </w:tcPr>
          <w:p w14:paraId="09B12FF7" w14:textId="77777777" w:rsidR="001D3C72" w:rsidRDefault="001D3C72" w:rsidP="00CB09C0">
            <w:pPr>
              <w:pStyle w:val="TableEntry"/>
            </w:pPr>
          </w:p>
        </w:tc>
        <w:tc>
          <w:tcPr>
            <w:tcW w:w="3960" w:type="dxa"/>
          </w:tcPr>
          <w:p w14:paraId="6D89C2A3" w14:textId="0596A854"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E20D6C">
              <w:t>1.8</w:t>
            </w:r>
            <w:r>
              <w:fldChar w:fldCharType="end"/>
            </w:r>
            <w:r>
              <w:t>.</w:t>
            </w:r>
          </w:p>
        </w:tc>
        <w:tc>
          <w:tcPr>
            <w:tcW w:w="1440" w:type="dxa"/>
          </w:tcPr>
          <w:p w14:paraId="58FCD1FD" w14:textId="77777777" w:rsidR="001D3C72" w:rsidRDefault="001D3C72" w:rsidP="00CB09C0">
            <w:pPr>
              <w:pStyle w:val="TableEntry"/>
            </w:pPr>
            <w:r>
              <w:t>xs:string</w:t>
            </w:r>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lastRenderedPageBreak/>
              <w:t>End</w:t>
            </w:r>
          </w:p>
        </w:tc>
        <w:tc>
          <w:tcPr>
            <w:tcW w:w="1260" w:type="dxa"/>
          </w:tcPr>
          <w:p w14:paraId="4E64FECC" w14:textId="77777777" w:rsidR="001D3C72" w:rsidRDefault="001D3C72" w:rsidP="00CB09C0">
            <w:pPr>
              <w:pStyle w:val="TableEntry"/>
            </w:pPr>
          </w:p>
        </w:tc>
        <w:tc>
          <w:tcPr>
            <w:tcW w:w="3960" w:type="dxa"/>
          </w:tcPr>
          <w:p w14:paraId="138FBF10" w14:textId="2867FC02"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E20D6C">
              <w:t>1.8</w:t>
            </w:r>
            <w:r>
              <w:fldChar w:fldCharType="end"/>
            </w:r>
            <w:r>
              <w:t>.</w:t>
            </w:r>
          </w:p>
        </w:tc>
        <w:tc>
          <w:tcPr>
            <w:tcW w:w="1440" w:type="dxa"/>
          </w:tcPr>
          <w:p w14:paraId="0CA19252" w14:textId="77777777" w:rsidR="001D3C72" w:rsidRPr="00402893" w:rsidRDefault="001D3C72" w:rsidP="00CB09C0">
            <w:pPr>
              <w:pStyle w:val="TableEntry"/>
            </w:pPr>
            <w:r>
              <w:t>xs:dateTime</w:t>
            </w:r>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r>
              <w:t>EndCondition</w:t>
            </w:r>
          </w:p>
        </w:tc>
        <w:tc>
          <w:tcPr>
            <w:tcW w:w="1260" w:type="dxa"/>
          </w:tcPr>
          <w:p w14:paraId="2423E399" w14:textId="77777777" w:rsidR="001D3C72" w:rsidRDefault="001D3C72" w:rsidP="00C9174C">
            <w:pPr>
              <w:pStyle w:val="TableEntry"/>
            </w:pPr>
          </w:p>
        </w:tc>
        <w:tc>
          <w:tcPr>
            <w:tcW w:w="3960" w:type="dxa"/>
          </w:tcPr>
          <w:p w14:paraId="0FDF3416" w14:textId="645280F3"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E20D6C">
              <w:t>1.8</w:t>
            </w:r>
            <w:r>
              <w:fldChar w:fldCharType="end"/>
            </w:r>
            <w:r>
              <w:t>.</w:t>
            </w:r>
          </w:p>
        </w:tc>
        <w:tc>
          <w:tcPr>
            <w:tcW w:w="1440" w:type="dxa"/>
          </w:tcPr>
          <w:p w14:paraId="00DDD8C2" w14:textId="77777777" w:rsidR="001D3C72" w:rsidRDefault="001D3C72" w:rsidP="00C9174C">
            <w:pPr>
              <w:pStyle w:val="TableEntry"/>
            </w:pPr>
            <w:r>
              <w:t>xs:string</w:t>
            </w:r>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4AE6EDA4" w:rsidR="00735FD1" w:rsidRDefault="00735FD1" w:rsidP="00735FD1">
            <w:pPr>
              <w:pStyle w:val="TableEntry"/>
            </w:pPr>
            <w:r>
              <w:t>AllowedLanguage</w:t>
            </w:r>
          </w:p>
        </w:tc>
        <w:tc>
          <w:tcPr>
            <w:tcW w:w="1260" w:type="dxa"/>
          </w:tcPr>
          <w:p w14:paraId="54DFCA1D" w14:textId="77777777" w:rsidR="00735FD1" w:rsidRDefault="00735FD1" w:rsidP="00735FD1">
            <w:pPr>
              <w:pStyle w:val="TableEntry"/>
            </w:pPr>
          </w:p>
        </w:tc>
        <w:tc>
          <w:tcPr>
            <w:tcW w:w="3960" w:type="dxa"/>
          </w:tcPr>
          <w:p w14:paraId="285994D3" w14:textId="183792A2" w:rsidR="00735FD1" w:rsidRDefault="00735FD1" w:rsidP="00735FD1">
            <w:pPr>
              <w:pStyle w:val="TableEntry"/>
            </w:pPr>
            <w:r>
              <w:t>Language or languages to which transaction applies.  If absent, then language restrictions, if any, will exist in bilateral agreements.</w:t>
            </w:r>
          </w:p>
        </w:tc>
        <w:tc>
          <w:tcPr>
            <w:tcW w:w="1440" w:type="dxa"/>
          </w:tcPr>
          <w:p w14:paraId="0FAF37C6" w14:textId="77777777" w:rsidR="00735FD1" w:rsidRDefault="00735FD1" w:rsidP="00735FD1">
            <w:pPr>
              <w:pStyle w:val="TableEntry"/>
            </w:pPr>
            <w:r>
              <w:t>xs:language</w:t>
            </w:r>
          </w:p>
        </w:tc>
        <w:tc>
          <w:tcPr>
            <w:tcW w:w="1020" w:type="dxa"/>
          </w:tcPr>
          <w:p w14:paraId="4FFB6798" w14:textId="77777777" w:rsidR="00735FD1" w:rsidRDefault="00735FD1" w:rsidP="00735FD1">
            <w:pPr>
              <w:pStyle w:val="TableEntry"/>
            </w:pPr>
            <w:r>
              <w:t>0..n</w:t>
            </w:r>
          </w:p>
        </w:tc>
      </w:tr>
      <w:tr w:rsidR="004D0F59" w:rsidRPr="0000320B" w14:paraId="696F23DD" w14:textId="77777777" w:rsidTr="00393C4A">
        <w:tc>
          <w:tcPr>
            <w:tcW w:w="1795" w:type="dxa"/>
          </w:tcPr>
          <w:p w14:paraId="7FEE1D49" w14:textId="77777777" w:rsidR="004D0F59" w:rsidDel="00735FD1" w:rsidRDefault="004D0F59" w:rsidP="00735FD1">
            <w:pPr>
              <w:pStyle w:val="TableEntry"/>
            </w:pPr>
          </w:p>
        </w:tc>
        <w:tc>
          <w:tcPr>
            <w:tcW w:w="1260" w:type="dxa"/>
          </w:tcPr>
          <w:p w14:paraId="6CE66364" w14:textId="77777777" w:rsidR="004D0F59" w:rsidRDefault="004D0F59" w:rsidP="00735FD1">
            <w:pPr>
              <w:pStyle w:val="TableEntry"/>
            </w:pPr>
            <w:r>
              <w:t>asset</w:t>
            </w:r>
          </w:p>
        </w:tc>
        <w:tc>
          <w:tcPr>
            <w:tcW w:w="3960" w:type="dxa"/>
          </w:tcPr>
          <w:p w14:paraId="5D7FE67E" w14:textId="77777777" w:rsidR="004D0F59" w:rsidRDefault="004D0F59" w:rsidP="00735FD1">
            <w:pPr>
              <w:pStyle w:val="TableEntry"/>
            </w:pPr>
            <w:r>
              <w:t>Indicates the scope of assets covered. See below.</w:t>
            </w:r>
          </w:p>
        </w:tc>
        <w:tc>
          <w:tcPr>
            <w:tcW w:w="1440" w:type="dxa"/>
          </w:tcPr>
          <w:p w14:paraId="0EBA50A9" w14:textId="77777777" w:rsidR="004D0F59" w:rsidRDefault="004D0F59" w:rsidP="00735FD1">
            <w:pPr>
              <w:pStyle w:val="TableEntry"/>
            </w:pPr>
            <w:r>
              <w:t>xs:string</w:t>
            </w:r>
          </w:p>
        </w:tc>
        <w:tc>
          <w:tcPr>
            <w:tcW w:w="1020" w:type="dxa"/>
          </w:tcPr>
          <w:p w14:paraId="1CB5118E" w14:textId="77777777" w:rsidR="004D0F59" w:rsidRDefault="004D0F59" w:rsidP="00735FD1">
            <w:pPr>
              <w:pStyle w:val="TableEntry"/>
            </w:pPr>
            <w:r>
              <w:t>0..1</w:t>
            </w:r>
          </w:p>
        </w:tc>
      </w:tr>
      <w:tr w:rsidR="00735FD1" w:rsidRPr="0000320B" w14:paraId="6C00E928" w14:textId="77777777" w:rsidTr="00393C4A">
        <w:tc>
          <w:tcPr>
            <w:tcW w:w="1795" w:type="dxa"/>
          </w:tcPr>
          <w:p w14:paraId="67BFC6B9" w14:textId="059BD3EA" w:rsidR="00735FD1" w:rsidRDefault="00735FD1" w:rsidP="00735FD1">
            <w:pPr>
              <w:pStyle w:val="TableEntry"/>
            </w:pPr>
            <w:r>
              <w:t>AssetLanguage</w:t>
            </w:r>
          </w:p>
        </w:tc>
        <w:tc>
          <w:tcPr>
            <w:tcW w:w="1260" w:type="dxa"/>
          </w:tcPr>
          <w:p w14:paraId="4337A78F" w14:textId="77777777" w:rsidR="00735FD1" w:rsidRDefault="00735FD1" w:rsidP="00735FD1">
            <w:pPr>
              <w:pStyle w:val="TableEntry"/>
            </w:pPr>
          </w:p>
        </w:tc>
        <w:tc>
          <w:tcPr>
            <w:tcW w:w="3960" w:type="dxa"/>
          </w:tcPr>
          <w:p w14:paraId="4923F88F" w14:textId="461D6C62" w:rsidR="00735FD1" w:rsidRDefault="00735FD1" w:rsidP="00735FD1">
            <w:pPr>
              <w:pStyle w:val="TableEntry"/>
            </w:pPr>
            <w:r>
              <w:t>Languages in which the content provider intends to provide assets. Note that this indicates intent, not commitment. .</w:t>
            </w:r>
          </w:p>
        </w:tc>
        <w:tc>
          <w:tcPr>
            <w:tcW w:w="1440" w:type="dxa"/>
          </w:tcPr>
          <w:p w14:paraId="0403571A" w14:textId="77777777" w:rsidR="00735FD1" w:rsidRDefault="00735FD1" w:rsidP="00735FD1">
            <w:pPr>
              <w:pStyle w:val="TableEntry"/>
            </w:pPr>
            <w:r>
              <w:t>xs:language</w:t>
            </w:r>
          </w:p>
        </w:tc>
        <w:tc>
          <w:tcPr>
            <w:tcW w:w="1020" w:type="dxa"/>
          </w:tcPr>
          <w:p w14:paraId="0F31290F" w14:textId="77777777" w:rsidR="00735FD1" w:rsidRDefault="00735FD1" w:rsidP="00735FD1">
            <w:pPr>
              <w:pStyle w:val="TableEntry"/>
            </w:pPr>
            <w:r>
              <w:t>0..n</w:t>
            </w:r>
          </w:p>
        </w:tc>
      </w:tr>
      <w:tr w:rsidR="004D0F59" w:rsidRPr="0000320B" w14:paraId="096AA21F" w14:textId="77777777" w:rsidTr="00393C4A">
        <w:tc>
          <w:tcPr>
            <w:tcW w:w="1795" w:type="dxa"/>
          </w:tcPr>
          <w:p w14:paraId="79FD9305" w14:textId="77777777" w:rsidR="004D0F59" w:rsidRDefault="004D0F59" w:rsidP="004D0F59">
            <w:pPr>
              <w:pStyle w:val="TableEntry"/>
            </w:pPr>
          </w:p>
        </w:tc>
        <w:tc>
          <w:tcPr>
            <w:tcW w:w="1260" w:type="dxa"/>
          </w:tcPr>
          <w:p w14:paraId="0FFE31D0" w14:textId="77777777" w:rsidR="004D0F59" w:rsidRDefault="004D0F59" w:rsidP="004D0F59">
            <w:pPr>
              <w:pStyle w:val="TableEntry"/>
            </w:pPr>
            <w:r>
              <w:t>asset</w:t>
            </w:r>
          </w:p>
        </w:tc>
        <w:tc>
          <w:tcPr>
            <w:tcW w:w="3960" w:type="dxa"/>
          </w:tcPr>
          <w:p w14:paraId="25C9A9F1" w14:textId="77777777" w:rsidR="004D0F59" w:rsidRDefault="004D0F59" w:rsidP="004D0F59">
            <w:pPr>
              <w:pStyle w:val="TableEntry"/>
            </w:pPr>
            <w:r>
              <w:t>Indicates the scope of assets covered. See below.</w:t>
            </w:r>
          </w:p>
        </w:tc>
        <w:tc>
          <w:tcPr>
            <w:tcW w:w="1440" w:type="dxa"/>
          </w:tcPr>
          <w:p w14:paraId="448950ED" w14:textId="77777777" w:rsidR="004D0F59" w:rsidRDefault="004D0F59" w:rsidP="004D0F59">
            <w:pPr>
              <w:pStyle w:val="TableEntry"/>
            </w:pPr>
            <w:r>
              <w:t>xs:string</w:t>
            </w:r>
          </w:p>
        </w:tc>
        <w:tc>
          <w:tcPr>
            <w:tcW w:w="1020" w:type="dxa"/>
          </w:tcPr>
          <w:p w14:paraId="62F26DC9" w14:textId="77777777" w:rsidR="004D0F59" w:rsidRDefault="004D0F59" w:rsidP="004D0F59">
            <w:pPr>
              <w:pStyle w:val="TableEntry"/>
            </w:pPr>
            <w:r>
              <w:t>0..1</w:t>
            </w:r>
          </w:p>
        </w:tc>
      </w:tr>
      <w:tr w:rsidR="000A10C2" w:rsidRPr="0000320B" w14:paraId="1B5A2466" w14:textId="77777777" w:rsidTr="004655B9">
        <w:tc>
          <w:tcPr>
            <w:tcW w:w="1795" w:type="dxa"/>
          </w:tcPr>
          <w:p w14:paraId="5ADA3A87" w14:textId="77777777" w:rsidR="000A10C2" w:rsidDel="00735FD1" w:rsidRDefault="000A10C2" w:rsidP="004655B9">
            <w:pPr>
              <w:pStyle w:val="TableEntry"/>
            </w:pPr>
          </w:p>
        </w:tc>
        <w:tc>
          <w:tcPr>
            <w:tcW w:w="1260" w:type="dxa"/>
          </w:tcPr>
          <w:p w14:paraId="010440E3" w14:textId="77777777" w:rsidR="000A10C2" w:rsidRDefault="000A10C2" w:rsidP="004655B9">
            <w:pPr>
              <w:pStyle w:val="TableEntry"/>
            </w:pPr>
            <w:r>
              <w:t>descriptive</w:t>
            </w:r>
          </w:p>
        </w:tc>
        <w:tc>
          <w:tcPr>
            <w:tcW w:w="3960" w:type="dxa"/>
          </w:tcPr>
          <w:p w14:paraId="1B39F0E6" w14:textId="77777777" w:rsidR="000A10C2" w:rsidRDefault="000A10C2" w:rsidP="004655B9">
            <w:pPr>
              <w:pStyle w:val="TableEntry"/>
            </w:pPr>
            <w:r>
              <w:t>Indicates descriptive audio is an intended asset.</w:t>
            </w:r>
          </w:p>
        </w:tc>
        <w:tc>
          <w:tcPr>
            <w:tcW w:w="1440" w:type="dxa"/>
          </w:tcPr>
          <w:p w14:paraId="18DB7662" w14:textId="77777777" w:rsidR="000A10C2" w:rsidRDefault="000A10C2" w:rsidP="004655B9">
            <w:pPr>
              <w:pStyle w:val="TableEntry"/>
            </w:pPr>
            <w:r>
              <w:t>xs:boolean</w:t>
            </w:r>
          </w:p>
        </w:tc>
        <w:tc>
          <w:tcPr>
            <w:tcW w:w="1020" w:type="dxa"/>
          </w:tcPr>
          <w:p w14:paraId="36594FE0" w14:textId="77777777" w:rsidR="000A10C2" w:rsidRDefault="000A10C2" w:rsidP="004655B9">
            <w:pPr>
              <w:pStyle w:val="TableEntry"/>
            </w:pPr>
            <w:r>
              <w:t>0..1</w:t>
            </w:r>
          </w:p>
        </w:tc>
      </w:tr>
      <w:tr w:rsidR="00C07B56" w:rsidRPr="0000320B" w14:paraId="0E4F3101" w14:textId="77777777" w:rsidTr="00393C4A">
        <w:tc>
          <w:tcPr>
            <w:tcW w:w="1795" w:type="dxa"/>
          </w:tcPr>
          <w:p w14:paraId="6C331AF1" w14:textId="77777777" w:rsidR="00C07B56" w:rsidRDefault="00C07B56" w:rsidP="00C07B56">
            <w:pPr>
              <w:pStyle w:val="TableEntry"/>
            </w:pPr>
            <w:r>
              <w:t>HoldbackLanguage</w:t>
            </w:r>
          </w:p>
        </w:tc>
        <w:tc>
          <w:tcPr>
            <w:tcW w:w="1260" w:type="dxa"/>
          </w:tcPr>
          <w:p w14:paraId="7F9D9119" w14:textId="77777777" w:rsidR="00C07B56" w:rsidRDefault="00C07B56" w:rsidP="00C07B56">
            <w:pPr>
              <w:pStyle w:val="TableEntry"/>
            </w:pPr>
          </w:p>
        </w:tc>
        <w:tc>
          <w:tcPr>
            <w:tcW w:w="3960" w:type="dxa"/>
          </w:tcPr>
          <w:p w14:paraId="5AD46E88" w14:textId="77777777" w:rsidR="00C07B56" w:rsidRDefault="00C07B56" w:rsidP="00C07B56">
            <w:pPr>
              <w:pStyle w:val="TableEntry"/>
            </w:pPr>
            <w:r>
              <w:t>Indicates</w:t>
            </w:r>
            <w:r w:rsidR="009261A7">
              <w:t xml:space="preserve"> language associated with </w:t>
            </w:r>
            <w:r>
              <w:t>holdback</w:t>
            </w:r>
          </w:p>
        </w:tc>
        <w:tc>
          <w:tcPr>
            <w:tcW w:w="1440" w:type="dxa"/>
          </w:tcPr>
          <w:p w14:paraId="22A13A63" w14:textId="77777777" w:rsidR="00C07B56" w:rsidRDefault="00C07B56" w:rsidP="00C07B56">
            <w:pPr>
              <w:pStyle w:val="TableEntry"/>
            </w:pPr>
            <w:r>
              <w:t>xs:language</w:t>
            </w:r>
          </w:p>
        </w:tc>
        <w:tc>
          <w:tcPr>
            <w:tcW w:w="1020" w:type="dxa"/>
          </w:tcPr>
          <w:p w14:paraId="1E49BFC8" w14:textId="77777777" w:rsidR="00C07B56" w:rsidRDefault="00C07B56" w:rsidP="00C07B56">
            <w:pPr>
              <w:pStyle w:val="TableEntry"/>
            </w:pPr>
            <w:r>
              <w:t>0..n</w:t>
            </w:r>
          </w:p>
        </w:tc>
      </w:tr>
      <w:tr w:rsidR="004D0F59" w:rsidRPr="0000320B" w14:paraId="13246889" w14:textId="77777777" w:rsidTr="00393C4A">
        <w:tc>
          <w:tcPr>
            <w:tcW w:w="1795" w:type="dxa"/>
          </w:tcPr>
          <w:p w14:paraId="0F17A292" w14:textId="77777777" w:rsidR="004D0F59" w:rsidRDefault="004D0F59" w:rsidP="004D0F59">
            <w:pPr>
              <w:pStyle w:val="TableEntry"/>
            </w:pPr>
          </w:p>
        </w:tc>
        <w:tc>
          <w:tcPr>
            <w:tcW w:w="1260" w:type="dxa"/>
          </w:tcPr>
          <w:p w14:paraId="18C47F27" w14:textId="77777777" w:rsidR="004D0F59" w:rsidRDefault="004D0F59" w:rsidP="004D0F59">
            <w:pPr>
              <w:pStyle w:val="TableEntry"/>
            </w:pPr>
            <w:r>
              <w:t>asset</w:t>
            </w:r>
          </w:p>
        </w:tc>
        <w:tc>
          <w:tcPr>
            <w:tcW w:w="3960" w:type="dxa"/>
          </w:tcPr>
          <w:p w14:paraId="454EB2EA" w14:textId="77777777" w:rsidR="004D0F59" w:rsidRDefault="004D0F59" w:rsidP="004D0F59">
            <w:pPr>
              <w:pStyle w:val="TableEntry"/>
            </w:pPr>
            <w:r>
              <w:t>Indicates the scope of assets covered. See below.</w:t>
            </w:r>
          </w:p>
        </w:tc>
        <w:tc>
          <w:tcPr>
            <w:tcW w:w="1440" w:type="dxa"/>
          </w:tcPr>
          <w:p w14:paraId="77329A3D" w14:textId="77777777" w:rsidR="004D0F59" w:rsidRDefault="004D0F59" w:rsidP="004D0F59">
            <w:pPr>
              <w:pStyle w:val="TableEntry"/>
            </w:pPr>
            <w:r>
              <w:t>xs:string</w:t>
            </w:r>
          </w:p>
        </w:tc>
        <w:tc>
          <w:tcPr>
            <w:tcW w:w="1020" w:type="dxa"/>
          </w:tcPr>
          <w:p w14:paraId="6B541131" w14:textId="77777777" w:rsidR="004D0F59" w:rsidRDefault="004D0F59" w:rsidP="004D0F59">
            <w:pPr>
              <w:pStyle w:val="TableEntry"/>
            </w:pPr>
            <w:r>
              <w:t>0..1</w:t>
            </w:r>
          </w:p>
        </w:tc>
      </w:tr>
      <w:tr w:rsidR="004D0F59" w:rsidRPr="0000320B" w14:paraId="38313DB4" w14:textId="77777777" w:rsidTr="00393C4A">
        <w:tc>
          <w:tcPr>
            <w:tcW w:w="1795" w:type="dxa"/>
          </w:tcPr>
          <w:p w14:paraId="76CAFA40" w14:textId="77777777" w:rsidR="004D0F59" w:rsidRDefault="004D0F59" w:rsidP="004D0F59">
            <w:pPr>
              <w:pStyle w:val="TableEntry"/>
            </w:pPr>
            <w:r>
              <w:t>LicenseRightsDescription</w:t>
            </w:r>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r>
              <w:t>xs:string</w:t>
            </w:r>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r>
              <w:t>FormatProfile</w:t>
            </w:r>
          </w:p>
        </w:tc>
        <w:tc>
          <w:tcPr>
            <w:tcW w:w="1260" w:type="dxa"/>
          </w:tcPr>
          <w:p w14:paraId="5D29B9C2" w14:textId="77777777" w:rsidR="004D0F59" w:rsidRDefault="004D0F59" w:rsidP="004D0F59">
            <w:pPr>
              <w:pStyle w:val="TableEntry"/>
            </w:pPr>
          </w:p>
        </w:tc>
        <w:tc>
          <w:tcPr>
            <w:tcW w:w="3960" w:type="dxa"/>
          </w:tcPr>
          <w:p w14:paraId="24C84223" w14:textId="27011377" w:rsidR="004D0F59" w:rsidRDefault="004D0F59" w:rsidP="004D0F59">
            <w:pPr>
              <w:pStyle w:val="TableEntry"/>
            </w:pPr>
            <w:r>
              <w:t>Indicates the format profile covered by the transaction.  This typically refers to HD, SD</w:t>
            </w:r>
            <w:r w:rsidR="00836FB7">
              <w:t xml:space="preserve">, UHD, </w:t>
            </w:r>
            <w:r>
              <w:t>3D</w:t>
            </w:r>
            <w:r w:rsidR="00836FB7">
              <w:t>, 3DSD, 3DHD or 3UHD</w:t>
            </w:r>
            <w:r>
              <w:t>.</w:t>
            </w:r>
          </w:p>
        </w:tc>
        <w:tc>
          <w:tcPr>
            <w:tcW w:w="1440" w:type="dxa"/>
          </w:tcPr>
          <w:p w14:paraId="319DF974" w14:textId="77777777" w:rsidR="004D0F59" w:rsidRDefault="004D0F59" w:rsidP="004D0F59">
            <w:pPr>
              <w:pStyle w:val="TableEntry"/>
            </w:pPr>
            <w:r>
              <w:t>xs:string</w:t>
            </w:r>
          </w:p>
        </w:tc>
        <w:tc>
          <w:tcPr>
            <w:tcW w:w="1020" w:type="dxa"/>
          </w:tcPr>
          <w:p w14:paraId="1477AE96" w14:textId="77777777" w:rsidR="004D0F59" w:rsidRDefault="004D0F59" w:rsidP="004D0F59">
            <w:pPr>
              <w:pStyle w:val="TableEntry"/>
            </w:pPr>
          </w:p>
        </w:tc>
      </w:tr>
      <w:tr w:rsidR="00836FB7" w:rsidRPr="0000320B" w14:paraId="39B2A2B5" w14:textId="77777777" w:rsidTr="00393C4A">
        <w:tc>
          <w:tcPr>
            <w:tcW w:w="1795" w:type="dxa"/>
          </w:tcPr>
          <w:p w14:paraId="2E977107" w14:textId="77777777" w:rsidR="00836FB7" w:rsidRDefault="00836FB7" w:rsidP="00836FB7">
            <w:pPr>
              <w:pStyle w:val="TableEntry"/>
            </w:pPr>
          </w:p>
        </w:tc>
        <w:tc>
          <w:tcPr>
            <w:tcW w:w="1260" w:type="dxa"/>
          </w:tcPr>
          <w:p w14:paraId="02D7EF44" w14:textId="77777777" w:rsidR="00836FB7" w:rsidRDefault="00836FB7" w:rsidP="00836FB7">
            <w:pPr>
              <w:pStyle w:val="TableEntry"/>
            </w:pPr>
            <w:r>
              <w:t>HDR</w:t>
            </w:r>
          </w:p>
        </w:tc>
        <w:tc>
          <w:tcPr>
            <w:tcW w:w="3960" w:type="dxa"/>
          </w:tcPr>
          <w:p w14:paraId="3102AF63" w14:textId="5146031F" w:rsidR="00836FB7" w:rsidRDefault="00C943ED" w:rsidP="00836FB7">
            <w:pPr>
              <w:pStyle w:val="TableEntry"/>
            </w:pPr>
            <w:r>
              <w:t xml:space="preserve">If present, </w:t>
            </w:r>
            <w:r w:rsidR="00836FB7">
              <w:t>High Dynamic Range is included.  If absent, status depends on FormatProfile and bilateral agreement.</w:t>
            </w:r>
            <w:r>
              <w:t xml:space="preserve">  May contain format as defined below.</w:t>
            </w:r>
          </w:p>
        </w:tc>
        <w:tc>
          <w:tcPr>
            <w:tcW w:w="1440" w:type="dxa"/>
          </w:tcPr>
          <w:p w14:paraId="4F0F3ED6" w14:textId="22079488" w:rsidR="00836FB7" w:rsidRDefault="00836FB7" w:rsidP="00836FB7">
            <w:pPr>
              <w:pStyle w:val="TableEntry"/>
            </w:pPr>
            <w:r>
              <w:t>xs:string</w:t>
            </w:r>
          </w:p>
        </w:tc>
        <w:tc>
          <w:tcPr>
            <w:tcW w:w="1020" w:type="dxa"/>
          </w:tcPr>
          <w:p w14:paraId="16EA685E" w14:textId="77777777" w:rsidR="00836FB7" w:rsidRDefault="00836FB7" w:rsidP="00836FB7">
            <w:pPr>
              <w:pStyle w:val="TableEntry"/>
            </w:pPr>
            <w:r w:rsidRPr="00876D5C">
              <w:t>0..1</w:t>
            </w:r>
          </w:p>
        </w:tc>
      </w:tr>
      <w:tr w:rsidR="00836FB7" w:rsidRPr="0000320B" w14:paraId="2B334409" w14:textId="77777777" w:rsidTr="00393C4A">
        <w:tc>
          <w:tcPr>
            <w:tcW w:w="1795" w:type="dxa"/>
          </w:tcPr>
          <w:p w14:paraId="1518DB50" w14:textId="77777777" w:rsidR="00836FB7" w:rsidRDefault="00836FB7" w:rsidP="00836FB7">
            <w:pPr>
              <w:pStyle w:val="TableEntry"/>
            </w:pPr>
          </w:p>
        </w:tc>
        <w:tc>
          <w:tcPr>
            <w:tcW w:w="1260" w:type="dxa"/>
          </w:tcPr>
          <w:p w14:paraId="75A25291" w14:textId="77777777" w:rsidR="00836FB7" w:rsidRDefault="00836FB7" w:rsidP="00836FB7">
            <w:pPr>
              <w:pStyle w:val="TableEntry"/>
            </w:pPr>
            <w:r>
              <w:t>WCG</w:t>
            </w:r>
          </w:p>
        </w:tc>
        <w:tc>
          <w:tcPr>
            <w:tcW w:w="3960" w:type="dxa"/>
          </w:tcPr>
          <w:p w14:paraId="6F4681F4" w14:textId="77777777" w:rsidR="00836FB7" w:rsidRDefault="00836FB7" w:rsidP="00836FB7">
            <w:pPr>
              <w:pStyle w:val="TableEntry"/>
            </w:pPr>
            <w:r>
              <w:t>Indicates whether Wide Color Gamut is included. If absent, status depends on FormatProfile and bilateral agreement.</w:t>
            </w:r>
          </w:p>
        </w:tc>
        <w:tc>
          <w:tcPr>
            <w:tcW w:w="1440" w:type="dxa"/>
          </w:tcPr>
          <w:p w14:paraId="7EF46273" w14:textId="1DC94C1A" w:rsidR="00836FB7" w:rsidRDefault="00836FB7" w:rsidP="00836FB7">
            <w:pPr>
              <w:pStyle w:val="TableEntry"/>
            </w:pPr>
            <w:r>
              <w:t>xs:string</w:t>
            </w:r>
          </w:p>
        </w:tc>
        <w:tc>
          <w:tcPr>
            <w:tcW w:w="1020" w:type="dxa"/>
          </w:tcPr>
          <w:p w14:paraId="0071DCE1" w14:textId="77777777" w:rsidR="00836FB7" w:rsidRDefault="00836FB7" w:rsidP="00836FB7">
            <w:pPr>
              <w:pStyle w:val="TableEntry"/>
            </w:pPr>
            <w:r w:rsidRPr="00876D5C">
              <w:t>0..1</w:t>
            </w:r>
          </w:p>
        </w:tc>
      </w:tr>
      <w:tr w:rsidR="00836FB7" w:rsidRPr="0000320B" w14:paraId="64A04030" w14:textId="77777777" w:rsidTr="00393C4A">
        <w:tc>
          <w:tcPr>
            <w:tcW w:w="1795" w:type="dxa"/>
          </w:tcPr>
          <w:p w14:paraId="68C5CBC2" w14:textId="77777777" w:rsidR="00836FB7" w:rsidRDefault="00836FB7" w:rsidP="00836FB7">
            <w:pPr>
              <w:pStyle w:val="TableEntry"/>
            </w:pPr>
          </w:p>
        </w:tc>
        <w:tc>
          <w:tcPr>
            <w:tcW w:w="1260" w:type="dxa"/>
          </w:tcPr>
          <w:p w14:paraId="0726C98E" w14:textId="77777777" w:rsidR="00836FB7" w:rsidRDefault="00836FB7" w:rsidP="00836FB7">
            <w:pPr>
              <w:pStyle w:val="TableEntry"/>
            </w:pPr>
            <w:r>
              <w:t>HFR</w:t>
            </w:r>
          </w:p>
        </w:tc>
        <w:tc>
          <w:tcPr>
            <w:tcW w:w="3960" w:type="dxa"/>
          </w:tcPr>
          <w:p w14:paraId="760EEFF3" w14:textId="77777777" w:rsidR="00836FB7" w:rsidRDefault="00836FB7" w:rsidP="00836FB7">
            <w:pPr>
              <w:pStyle w:val="TableEntry"/>
            </w:pPr>
            <w:r>
              <w:t>Indicates whether HFR is included. If absent, status depends on FormatProfile and bilateral agreement.</w:t>
            </w:r>
          </w:p>
        </w:tc>
        <w:tc>
          <w:tcPr>
            <w:tcW w:w="1440" w:type="dxa"/>
          </w:tcPr>
          <w:p w14:paraId="3618334A" w14:textId="1AF01369" w:rsidR="00836FB7" w:rsidRDefault="00836FB7" w:rsidP="00836FB7">
            <w:pPr>
              <w:pStyle w:val="TableEntry"/>
            </w:pPr>
            <w:r>
              <w:t>xs:string</w:t>
            </w:r>
          </w:p>
        </w:tc>
        <w:tc>
          <w:tcPr>
            <w:tcW w:w="1020" w:type="dxa"/>
          </w:tcPr>
          <w:p w14:paraId="59747B04" w14:textId="77777777" w:rsidR="00836FB7" w:rsidRDefault="00836FB7" w:rsidP="00836FB7">
            <w:pPr>
              <w:pStyle w:val="TableEntry"/>
            </w:pPr>
            <w:r w:rsidRPr="00876D5C">
              <w:t>0..1</w:t>
            </w:r>
          </w:p>
        </w:tc>
      </w:tr>
      <w:tr w:rsidR="000724D6" w:rsidRPr="0000320B" w14:paraId="571A89B5" w14:textId="77777777" w:rsidTr="00393C4A">
        <w:tc>
          <w:tcPr>
            <w:tcW w:w="1795" w:type="dxa"/>
          </w:tcPr>
          <w:p w14:paraId="368D6D69" w14:textId="736D1F87" w:rsidR="000724D6" w:rsidRDefault="000724D6" w:rsidP="000724D6">
            <w:pPr>
              <w:pStyle w:val="TableEntry"/>
            </w:pPr>
          </w:p>
        </w:tc>
        <w:tc>
          <w:tcPr>
            <w:tcW w:w="1260" w:type="dxa"/>
          </w:tcPr>
          <w:p w14:paraId="6AAB2B89" w14:textId="62FB1C00" w:rsidR="000724D6" w:rsidRDefault="000724D6" w:rsidP="000724D6">
            <w:pPr>
              <w:pStyle w:val="TableEntry"/>
            </w:pPr>
            <w:r>
              <w:t>NGAudio</w:t>
            </w:r>
          </w:p>
        </w:tc>
        <w:tc>
          <w:tcPr>
            <w:tcW w:w="3960" w:type="dxa"/>
          </w:tcPr>
          <w:p w14:paraId="43B2282C" w14:textId="386F2864" w:rsidR="000724D6" w:rsidRDefault="001B0441" w:rsidP="000724D6">
            <w:pPr>
              <w:pStyle w:val="TableEntry"/>
            </w:pPr>
            <w:r>
              <w:t xml:space="preserve">If present, </w:t>
            </w:r>
            <w:r w:rsidR="000724D6">
              <w:t>Next Generation</w:t>
            </w:r>
            <w:r>
              <w:t xml:space="preserve"> audio, such as Object Based Sound,</w:t>
            </w:r>
            <w:r w:rsidR="000724D6">
              <w:t xml:space="preserve"> is included.  If absent, status depends on FormatProfile and bilateral agreement.</w:t>
            </w:r>
            <w:r>
              <w:t xml:space="preserve">  May encode format, such as “Atmos”, “DTS:X” or “Auro3D”.</w:t>
            </w:r>
          </w:p>
        </w:tc>
        <w:tc>
          <w:tcPr>
            <w:tcW w:w="1440" w:type="dxa"/>
          </w:tcPr>
          <w:p w14:paraId="24BBEE10" w14:textId="4F5482F5" w:rsidR="000724D6" w:rsidRDefault="000724D6" w:rsidP="000724D6">
            <w:pPr>
              <w:pStyle w:val="TableEntry"/>
            </w:pPr>
            <w:r>
              <w:t>xs:string</w:t>
            </w:r>
          </w:p>
        </w:tc>
        <w:tc>
          <w:tcPr>
            <w:tcW w:w="1020" w:type="dxa"/>
          </w:tcPr>
          <w:p w14:paraId="58A899A1" w14:textId="7830C0CD" w:rsidR="000724D6" w:rsidRDefault="000724D6" w:rsidP="000724D6">
            <w:pPr>
              <w:pStyle w:val="TableEntry"/>
            </w:pPr>
            <w:r w:rsidRPr="00876D5C">
              <w:t>0..1</w:t>
            </w:r>
          </w:p>
        </w:tc>
      </w:tr>
      <w:tr w:rsidR="000724D6" w:rsidRPr="0000320B" w14:paraId="73E83916" w14:textId="77777777" w:rsidTr="00393C4A">
        <w:tc>
          <w:tcPr>
            <w:tcW w:w="1795" w:type="dxa"/>
          </w:tcPr>
          <w:p w14:paraId="72CB5550" w14:textId="77777777" w:rsidR="000724D6" w:rsidRDefault="000724D6" w:rsidP="000724D6">
            <w:pPr>
              <w:pStyle w:val="TableEntry"/>
            </w:pPr>
            <w:r>
              <w:lastRenderedPageBreak/>
              <w:t>ContractID</w:t>
            </w:r>
          </w:p>
        </w:tc>
        <w:tc>
          <w:tcPr>
            <w:tcW w:w="1260" w:type="dxa"/>
          </w:tcPr>
          <w:p w14:paraId="7D94E322" w14:textId="77777777" w:rsidR="000724D6" w:rsidRDefault="000724D6" w:rsidP="000724D6">
            <w:pPr>
              <w:pStyle w:val="TableEntry"/>
            </w:pPr>
          </w:p>
        </w:tc>
        <w:tc>
          <w:tcPr>
            <w:tcW w:w="3960" w:type="dxa"/>
          </w:tcPr>
          <w:p w14:paraId="53DA7FF8" w14:textId="77777777" w:rsidR="000724D6" w:rsidRDefault="000724D6" w:rsidP="000724D6">
            <w:pPr>
              <w:pStyle w:val="TableEntry"/>
            </w:pPr>
            <w:r>
              <w:t>An identifier referencing any contract information relevant to this avail entry between the studio and retailer.</w:t>
            </w:r>
          </w:p>
        </w:tc>
        <w:tc>
          <w:tcPr>
            <w:tcW w:w="1440" w:type="dxa"/>
          </w:tcPr>
          <w:p w14:paraId="006C273D" w14:textId="77777777" w:rsidR="000724D6" w:rsidRDefault="000724D6" w:rsidP="000724D6">
            <w:pPr>
              <w:pStyle w:val="TableEntry"/>
            </w:pPr>
            <w:r>
              <w:t>xs:string</w:t>
            </w:r>
          </w:p>
        </w:tc>
        <w:tc>
          <w:tcPr>
            <w:tcW w:w="1020" w:type="dxa"/>
          </w:tcPr>
          <w:p w14:paraId="5029EFFA" w14:textId="77777777" w:rsidR="000724D6" w:rsidRDefault="000724D6" w:rsidP="000724D6">
            <w:pPr>
              <w:pStyle w:val="TableEntry"/>
            </w:pPr>
            <w:r>
              <w:t>0..1</w:t>
            </w:r>
          </w:p>
        </w:tc>
      </w:tr>
      <w:tr w:rsidR="000724D6" w:rsidRPr="0000320B" w14:paraId="1A3253FB" w14:textId="77777777" w:rsidTr="00393C4A">
        <w:tc>
          <w:tcPr>
            <w:tcW w:w="1795" w:type="dxa"/>
          </w:tcPr>
          <w:p w14:paraId="2EE3028B" w14:textId="77777777" w:rsidR="000724D6" w:rsidRDefault="000724D6" w:rsidP="000724D6">
            <w:pPr>
              <w:pStyle w:val="TableEntry"/>
            </w:pPr>
            <w:r>
              <w:t>ReportingID</w:t>
            </w:r>
          </w:p>
        </w:tc>
        <w:tc>
          <w:tcPr>
            <w:tcW w:w="1260" w:type="dxa"/>
          </w:tcPr>
          <w:p w14:paraId="55E56A95" w14:textId="77777777" w:rsidR="000724D6" w:rsidRDefault="000724D6" w:rsidP="000724D6">
            <w:pPr>
              <w:pStyle w:val="TableEntry"/>
            </w:pPr>
          </w:p>
        </w:tc>
        <w:tc>
          <w:tcPr>
            <w:tcW w:w="3960" w:type="dxa"/>
          </w:tcPr>
          <w:p w14:paraId="5D36B908" w14:textId="7A8BF05D" w:rsidR="000724D6" w:rsidRDefault="00DF5E61" w:rsidP="000724D6">
            <w:pPr>
              <w:pStyle w:val="TableEntry"/>
            </w:pPr>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p>
        </w:tc>
        <w:tc>
          <w:tcPr>
            <w:tcW w:w="1440" w:type="dxa"/>
          </w:tcPr>
          <w:p w14:paraId="17655F1F" w14:textId="77777777" w:rsidR="000724D6" w:rsidRDefault="000724D6" w:rsidP="000724D6">
            <w:pPr>
              <w:pStyle w:val="TableEntry"/>
            </w:pPr>
            <w:r>
              <w:t>xs:string</w:t>
            </w:r>
          </w:p>
        </w:tc>
        <w:tc>
          <w:tcPr>
            <w:tcW w:w="1020" w:type="dxa"/>
          </w:tcPr>
          <w:p w14:paraId="26FEDB5D" w14:textId="77777777" w:rsidR="000724D6" w:rsidRDefault="000724D6" w:rsidP="000724D6">
            <w:pPr>
              <w:pStyle w:val="TableEntry"/>
            </w:pPr>
            <w:r>
              <w:t>0..1</w:t>
            </w:r>
          </w:p>
        </w:tc>
      </w:tr>
      <w:tr w:rsidR="000724D6" w:rsidRPr="0000320B" w14:paraId="5EDC062A" w14:textId="77777777" w:rsidTr="00393C4A">
        <w:tc>
          <w:tcPr>
            <w:tcW w:w="1795" w:type="dxa"/>
          </w:tcPr>
          <w:p w14:paraId="17CC8BD1" w14:textId="77777777" w:rsidR="000724D6" w:rsidRDefault="000724D6" w:rsidP="000724D6">
            <w:pPr>
              <w:pStyle w:val="TableEntry"/>
            </w:pPr>
            <w:r>
              <w:t>RefALID</w:t>
            </w:r>
          </w:p>
        </w:tc>
        <w:tc>
          <w:tcPr>
            <w:tcW w:w="1260" w:type="dxa"/>
          </w:tcPr>
          <w:p w14:paraId="1D1C9D48" w14:textId="77777777" w:rsidR="000724D6" w:rsidRDefault="000724D6" w:rsidP="000724D6">
            <w:pPr>
              <w:pStyle w:val="TableEntry"/>
            </w:pPr>
          </w:p>
        </w:tc>
        <w:tc>
          <w:tcPr>
            <w:tcW w:w="3960" w:type="dxa"/>
          </w:tcPr>
          <w:p w14:paraId="6DCA8A27" w14:textId="77777777" w:rsidR="000724D6" w:rsidRDefault="000724D6" w:rsidP="000724D6">
            <w:pPr>
              <w:pStyle w:val="TableEntry"/>
            </w:pPr>
            <w:r>
              <w:t>ALID relating to this transaction.  See below</w:t>
            </w:r>
          </w:p>
        </w:tc>
        <w:tc>
          <w:tcPr>
            <w:tcW w:w="1440" w:type="dxa"/>
          </w:tcPr>
          <w:p w14:paraId="0E22E073" w14:textId="77777777" w:rsidR="000724D6" w:rsidRDefault="000724D6" w:rsidP="000724D6">
            <w:pPr>
              <w:pStyle w:val="TableEntry"/>
            </w:pPr>
            <w:r>
              <w:t>md:AssetLogicalID-type</w:t>
            </w:r>
          </w:p>
        </w:tc>
        <w:tc>
          <w:tcPr>
            <w:tcW w:w="1020" w:type="dxa"/>
          </w:tcPr>
          <w:p w14:paraId="6B094D01" w14:textId="77777777" w:rsidR="000724D6" w:rsidRDefault="000724D6" w:rsidP="000724D6">
            <w:pPr>
              <w:pStyle w:val="TableEntry"/>
            </w:pPr>
            <w:r>
              <w:t>0..n</w:t>
            </w:r>
          </w:p>
        </w:tc>
      </w:tr>
      <w:tr w:rsidR="000724D6" w:rsidRPr="0000320B" w14:paraId="3ED2790C" w14:textId="77777777" w:rsidTr="00393C4A">
        <w:tc>
          <w:tcPr>
            <w:tcW w:w="1795" w:type="dxa"/>
          </w:tcPr>
          <w:p w14:paraId="39E55B31" w14:textId="77777777" w:rsidR="000724D6" w:rsidRDefault="000724D6" w:rsidP="000724D6">
            <w:pPr>
              <w:pStyle w:val="TableEntry"/>
            </w:pPr>
          </w:p>
        </w:tc>
        <w:tc>
          <w:tcPr>
            <w:tcW w:w="1260" w:type="dxa"/>
          </w:tcPr>
          <w:p w14:paraId="2EE829CA" w14:textId="77777777" w:rsidR="000724D6" w:rsidRDefault="000724D6" w:rsidP="000724D6">
            <w:pPr>
              <w:pStyle w:val="TableEntry"/>
            </w:pPr>
            <w:r>
              <w:t>refAvailType</w:t>
            </w:r>
          </w:p>
        </w:tc>
        <w:tc>
          <w:tcPr>
            <w:tcW w:w="3960" w:type="dxa"/>
          </w:tcPr>
          <w:p w14:paraId="1B97ECB2" w14:textId="77777777" w:rsidR="000724D6" w:rsidRDefault="000724D6" w:rsidP="000724D6">
            <w:pPr>
              <w:pStyle w:val="TableEntry"/>
            </w:pPr>
            <w:r>
              <w:t>Indicates AvailType of associated with the promotion or supplement.  If absent, it is assumed to be the same as the referenced Avail. If present, it must either match the referenced Avail or be ‘series’</w:t>
            </w:r>
          </w:p>
        </w:tc>
        <w:tc>
          <w:tcPr>
            <w:tcW w:w="1440" w:type="dxa"/>
          </w:tcPr>
          <w:p w14:paraId="2E6038FD" w14:textId="77777777" w:rsidR="000724D6" w:rsidRDefault="000724D6" w:rsidP="000724D6">
            <w:pPr>
              <w:pStyle w:val="TableEntry"/>
            </w:pPr>
            <w:r>
              <w:t>xs:string</w:t>
            </w:r>
          </w:p>
        </w:tc>
        <w:tc>
          <w:tcPr>
            <w:tcW w:w="1020" w:type="dxa"/>
          </w:tcPr>
          <w:p w14:paraId="3C7710F6" w14:textId="77777777" w:rsidR="000724D6" w:rsidRDefault="000724D6" w:rsidP="000724D6">
            <w:pPr>
              <w:pStyle w:val="TableEntry"/>
            </w:pPr>
            <w:r>
              <w:t>0..1</w:t>
            </w:r>
          </w:p>
        </w:tc>
      </w:tr>
      <w:tr w:rsidR="000724D6" w:rsidRPr="0000320B" w14:paraId="78746F3A" w14:textId="77777777" w:rsidTr="00393C4A">
        <w:tc>
          <w:tcPr>
            <w:tcW w:w="1795" w:type="dxa"/>
          </w:tcPr>
          <w:p w14:paraId="2B7A865F" w14:textId="77777777" w:rsidR="000724D6" w:rsidRDefault="000724D6" w:rsidP="000724D6">
            <w:pPr>
              <w:pStyle w:val="TableEntry"/>
            </w:pPr>
            <w:r>
              <w:t>Terms</w:t>
            </w:r>
          </w:p>
        </w:tc>
        <w:tc>
          <w:tcPr>
            <w:tcW w:w="1260" w:type="dxa"/>
          </w:tcPr>
          <w:p w14:paraId="1681A928" w14:textId="77777777" w:rsidR="000724D6" w:rsidRDefault="000724D6" w:rsidP="000724D6">
            <w:pPr>
              <w:pStyle w:val="TableEntry"/>
            </w:pPr>
          </w:p>
        </w:tc>
        <w:tc>
          <w:tcPr>
            <w:tcW w:w="3960" w:type="dxa"/>
          </w:tcPr>
          <w:p w14:paraId="07431151" w14:textId="77777777" w:rsidR="000724D6" w:rsidRDefault="000724D6" w:rsidP="000724D6">
            <w:pPr>
              <w:pStyle w:val="TableEntry"/>
            </w:pPr>
            <w:r>
              <w:t>Terms described in pre-defined values.</w:t>
            </w:r>
          </w:p>
        </w:tc>
        <w:tc>
          <w:tcPr>
            <w:tcW w:w="1440" w:type="dxa"/>
          </w:tcPr>
          <w:p w14:paraId="32FC033A" w14:textId="77777777" w:rsidR="000724D6" w:rsidRDefault="000724D6" w:rsidP="000724D6">
            <w:pPr>
              <w:pStyle w:val="TableEntry"/>
            </w:pPr>
            <w:r>
              <w:t>avails:AvailTerms-type</w:t>
            </w:r>
          </w:p>
        </w:tc>
        <w:tc>
          <w:tcPr>
            <w:tcW w:w="1020" w:type="dxa"/>
          </w:tcPr>
          <w:p w14:paraId="0914A7C2" w14:textId="77777777" w:rsidR="000724D6" w:rsidRDefault="000724D6" w:rsidP="000724D6">
            <w:pPr>
              <w:pStyle w:val="TableEntry"/>
            </w:pPr>
            <w:r>
              <w:t>0..n</w:t>
            </w:r>
          </w:p>
        </w:tc>
      </w:tr>
      <w:tr w:rsidR="000724D6" w:rsidRPr="0000320B" w14:paraId="24F25C30" w14:textId="77777777" w:rsidTr="00393C4A">
        <w:tc>
          <w:tcPr>
            <w:tcW w:w="1795" w:type="dxa"/>
          </w:tcPr>
          <w:p w14:paraId="25DBF54A" w14:textId="77777777" w:rsidR="000724D6" w:rsidRDefault="000724D6" w:rsidP="000724D6">
            <w:pPr>
              <w:pStyle w:val="TableEntry"/>
            </w:pPr>
            <w:r>
              <w:t>ExperienceCondition</w:t>
            </w:r>
          </w:p>
        </w:tc>
        <w:tc>
          <w:tcPr>
            <w:tcW w:w="1260" w:type="dxa"/>
          </w:tcPr>
          <w:p w14:paraId="025DDD0C" w14:textId="77777777" w:rsidR="000724D6" w:rsidRDefault="000724D6" w:rsidP="000724D6">
            <w:pPr>
              <w:pStyle w:val="TableEntry"/>
            </w:pPr>
          </w:p>
        </w:tc>
        <w:tc>
          <w:tcPr>
            <w:tcW w:w="3960" w:type="dxa"/>
          </w:tcPr>
          <w:p w14:paraId="65F5BB92" w14:textId="77777777" w:rsidR="000724D6" w:rsidRDefault="000724D6" w:rsidP="000724D6">
            <w:pPr>
              <w:pStyle w:val="TableEntry"/>
            </w:pPr>
            <w:r>
              <w:t>Used in conjunction with Media Manifest, ExperienceCondition is the value used to match @condition in manifest:ALIDExperienceMap-type. See [Manifest], Section 9.2.</w:t>
            </w:r>
          </w:p>
        </w:tc>
        <w:tc>
          <w:tcPr>
            <w:tcW w:w="1440" w:type="dxa"/>
          </w:tcPr>
          <w:p w14:paraId="1F29C24F" w14:textId="77777777" w:rsidR="000724D6" w:rsidRDefault="000724D6" w:rsidP="000724D6">
            <w:pPr>
              <w:pStyle w:val="TableEntry"/>
            </w:pPr>
            <w:r>
              <w:t>xs:string</w:t>
            </w:r>
          </w:p>
        </w:tc>
        <w:tc>
          <w:tcPr>
            <w:tcW w:w="1020" w:type="dxa"/>
          </w:tcPr>
          <w:p w14:paraId="20101B41" w14:textId="77777777" w:rsidR="000724D6" w:rsidRDefault="000724D6" w:rsidP="000724D6">
            <w:pPr>
              <w:pStyle w:val="TableEntry"/>
            </w:pPr>
            <w:r>
              <w:t>0..1</w:t>
            </w:r>
          </w:p>
        </w:tc>
      </w:tr>
      <w:tr w:rsidR="000724D6" w:rsidRPr="0000320B" w14:paraId="4B889177" w14:textId="77777777" w:rsidTr="00393C4A">
        <w:tc>
          <w:tcPr>
            <w:tcW w:w="1795" w:type="dxa"/>
          </w:tcPr>
          <w:p w14:paraId="00C77389" w14:textId="77777777" w:rsidR="000724D6" w:rsidRDefault="000724D6" w:rsidP="000724D6">
            <w:pPr>
              <w:pStyle w:val="TableEntry"/>
            </w:pPr>
            <w:r>
              <w:t>OtherInstructions</w:t>
            </w:r>
          </w:p>
        </w:tc>
        <w:tc>
          <w:tcPr>
            <w:tcW w:w="1260" w:type="dxa"/>
          </w:tcPr>
          <w:p w14:paraId="7EA7F6ED" w14:textId="77777777" w:rsidR="000724D6" w:rsidRDefault="000724D6" w:rsidP="000724D6">
            <w:pPr>
              <w:pStyle w:val="TableEntry"/>
            </w:pPr>
          </w:p>
        </w:tc>
        <w:tc>
          <w:tcPr>
            <w:tcW w:w="3960" w:type="dxa"/>
          </w:tcPr>
          <w:p w14:paraId="0CB8F017" w14:textId="77777777" w:rsidR="000724D6" w:rsidRDefault="000724D6" w:rsidP="000724D6">
            <w:pPr>
              <w:pStyle w:val="TableEntry"/>
            </w:pPr>
            <w:r>
              <w:t>Any other instructions. Free text.</w:t>
            </w:r>
          </w:p>
        </w:tc>
        <w:tc>
          <w:tcPr>
            <w:tcW w:w="1440" w:type="dxa"/>
          </w:tcPr>
          <w:p w14:paraId="2DDF6977" w14:textId="77777777" w:rsidR="000724D6" w:rsidRPr="00402893" w:rsidRDefault="000724D6" w:rsidP="000724D6">
            <w:pPr>
              <w:pStyle w:val="TableEntry"/>
            </w:pPr>
            <w:r>
              <w:t>xs:string</w:t>
            </w:r>
          </w:p>
        </w:tc>
        <w:tc>
          <w:tcPr>
            <w:tcW w:w="1020" w:type="dxa"/>
          </w:tcPr>
          <w:p w14:paraId="6EDDBC2A" w14:textId="77777777" w:rsidR="000724D6" w:rsidRDefault="000724D6" w:rsidP="000724D6">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r>
        <w:t>License</w:t>
      </w:r>
      <w:r w:rsidR="006E1833">
        <w:t>Type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pPr>
      <w:r>
        <w:t>‘POEST’</w:t>
      </w:r>
      <w:r w:rsidR="00216AB5">
        <w:t xml:space="preserve"> (Pre-order EST)</w:t>
      </w:r>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pPr>
      <w:r>
        <w:t>AllowedLanguage, AssetLanguage and HoldbackLanguage each have an @asset attribute.  It is defined as follows:</w:t>
      </w:r>
    </w:p>
    <w:p w14:paraId="6DFD590E" w14:textId="77777777" w:rsidR="004D0F59" w:rsidRDefault="004D0F59" w:rsidP="004D0F59">
      <w:pPr>
        <w:pStyle w:val="Body"/>
        <w:numPr>
          <w:ilvl w:val="0"/>
          <w:numId w:val="17"/>
        </w:numPr>
      </w:pPr>
      <w:r>
        <w:t xml:space="preserve">‘subtitle’  Indicates subtitles (subs). </w:t>
      </w:r>
    </w:p>
    <w:p w14:paraId="2B4E6838" w14:textId="77777777" w:rsidR="004D0F59" w:rsidRDefault="004D0F59" w:rsidP="004D0F59">
      <w:pPr>
        <w:pStyle w:val="Body"/>
        <w:numPr>
          <w:ilvl w:val="0"/>
          <w:numId w:val="17"/>
        </w:numPr>
      </w:pPr>
      <w:r>
        <w:lastRenderedPageBreak/>
        <w:t>‘audio’ indicates audio dubs</w:t>
      </w:r>
    </w:p>
    <w:p w14:paraId="7A01092D" w14:textId="77777777" w:rsidR="004D0F59" w:rsidRDefault="004D0F59" w:rsidP="004D0F59">
      <w:pPr>
        <w:pStyle w:val="Body"/>
        <w:numPr>
          <w:ilvl w:val="0"/>
          <w:numId w:val="17"/>
        </w:numPr>
      </w:pPr>
      <w:r>
        <w:t>‘subdub’ indicates subtitle and audio subs.</w:t>
      </w:r>
      <w:r w:rsidRPr="004D0F59">
        <w:t xml:space="preserve">  </w:t>
      </w:r>
      <w:r>
        <w:t>If attribute it absent, ‘subdub’ is assumed.</w:t>
      </w:r>
    </w:p>
    <w:p w14:paraId="14CA0593" w14:textId="77777777" w:rsidR="000539F0" w:rsidRDefault="000539F0" w:rsidP="0097443E">
      <w:pPr>
        <w:pStyle w:val="Body"/>
        <w:ind w:firstLine="0"/>
      </w:pPr>
      <w:r>
        <w:t>LicenseRightsDescription should have one of the following values:</w:t>
      </w:r>
    </w:p>
    <w:p w14:paraId="70524CEA" w14:textId="365FF740" w:rsidR="00292BC4" w:rsidRDefault="002F16DD" w:rsidP="00360672">
      <w:pPr>
        <w:pStyle w:val="Body"/>
        <w:numPr>
          <w:ilvl w:val="0"/>
          <w:numId w:val="11"/>
        </w:numPr>
      </w:pPr>
      <w:r w:rsidDel="002F16DD">
        <w:t xml:space="preserve"> </w:t>
      </w:r>
      <w:r w:rsidR="00292BC4">
        <w:t>‘Next Day TV’ – Content that is typically published day after initial broadcast date.</w:t>
      </w:r>
    </w:p>
    <w:p w14:paraId="5DD578D2" w14:textId="5DBE16D5" w:rsidR="005D7943" w:rsidRDefault="005D7943" w:rsidP="00360672">
      <w:pPr>
        <w:pStyle w:val="Body"/>
        <w:numPr>
          <w:ilvl w:val="0"/>
          <w:numId w:val="11"/>
        </w:numPr>
      </w:pPr>
      <w:r>
        <w:t>‘POD’ – Publish on Delivery.  Although a start date may be provided, the expectation is that content will published when the assets are delivered to the retailer.  This is typically used for library where there is no expectation that publication will meet the start date.</w:t>
      </w:r>
    </w:p>
    <w:p w14:paraId="107F766B" w14:textId="77777777" w:rsidR="0097443E" w:rsidRDefault="0097443E" w:rsidP="0097443E">
      <w:pPr>
        <w:pStyle w:val="Body"/>
        <w:ind w:firstLine="0"/>
      </w:pPr>
      <w:r>
        <w:t>FomatProfile should have one of the following values</w:t>
      </w:r>
    </w:p>
    <w:p w14:paraId="3CBBC3AA" w14:textId="77777777" w:rsidR="00C93B2C" w:rsidRDefault="00C93B2C" w:rsidP="00C93B2C">
      <w:pPr>
        <w:pStyle w:val="Body"/>
        <w:numPr>
          <w:ilvl w:val="0"/>
          <w:numId w:val="11"/>
        </w:numPr>
      </w:pPr>
      <w:r>
        <w:t>‘UHD’ – 4K UltraHD</w:t>
      </w:r>
    </w:p>
    <w:p w14:paraId="04EEAA89" w14:textId="0A4E1C24" w:rsidR="0097443E" w:rsidRDefault="00C93B2C" w:rsidP="00C93B2C">
      <w:pPr>
        <w:pStyle w:val="Body"/>
        <w:numPr>
          <w:ilvl w:val="0"/>
          <w:numId w:val="11"/>
        </w:numPr>
      </w:pPr>
      <w:r>
        <w:t xml:space="preserve"> </w:t>
      </w:r>
      <w:r w:rsidR="0097443E">
        <w:t>‘HD’ – High Definition</w:t>
      </w:r>
    </w:p>
    <w:p w14:paraId="5310FE12" w14:textId="5D46E064" w:rsidR="0097443E" w:rsidRDefault="0097443E" w:rsidP="00360672">
      <w:pPr>
        <w:pStyle w:val="Body"/>
        <w:numPr>
          <w:ilvl w:val="0"/>
          <w:numId w:val="11"/>
        </w:numPr>
      </w:pPr>
      <w:r>
        <w:t>‘SD’ – Standard Definition</w:t>
      </w:r>
    </w:p>
    <w:p w14:paraId="601C0AEB" w14:textId="6215DFFB" w:rsidR="0097443E" w:rsidRDefault="0005416C" w:rsidP="00360672">
      <w:pPr>
        <w:pStyle w:val="Body"/>
        <w:numPr>
          <w:ilvl w:val="0"/>
          <w:numId w:val="11"/>
        </w:numPr>
      </w:pPr>
      <w:r>
        <w:t>‘</w:t>
      </w:r>
      <w:r w:rsidR="0097443E">
        <w:t>3D’ – 3D, nonspecific of resolution</w:t>
      </w:r>
    </w:p>
    <w:p w14:paraId="10DF8207" w14:textId="7089582E" w:rsidR="00C93B2C" w:rsidRDefault="00C93B2C" w:rsidP="00360672">
      <w:pPr>
        <w:pStyle w:val="Body"/>
        <w:numPr>
          <w:ilvl w:val="0"/>
          <w:numId w:val="11"/>
        </w:numPr>
      </w:pPr>
      <w:r>
        <w:t>‘3DUHD’ – 3D 4K UltraHD</w:t>
      </w:r>
    </w:p>
    <w:p w14:paraId="4DEFCA23" w14:textId="0AC9B81E" w:rsidR="0005416C" w:rsidRDefault="0097443E" w:rsidP="00360672">
      <w:pPr>
        <w:pStyle w:val="Body"/>
        <w:numPr>
          <w:ilvl w:val="0"/>
          <w:numId w:val="11"/>
        </w:numPr>
      </w:pPr>
      <w:r>
        <w:t>‘3DHD’ – 3D</w:t>
      </w:r>
      <w:r w:rsidR="0005416C">
        <w:t xml:space="preserve"> High Definition</w:t>
      </w:r>
    </w:p>
    <w:p w14:paraId="5989C907" w14:textId="7C3E9B96" w:rsidR="00C93B2C" w:rsidRDefault="0097443E" w:rsidP="00DF5E61">
      <w:pPr>
        <w:pStyle w:val="Body"/>
        <w:numPr>
          <w:ilvl w:val="0"/>
          <w:numId w:val="11"/>
        </w:numPr>
      </w:pPr>
      <w:r>
        <w:t>‘3DSD’ – 3D Standard Definition</w:t>
      </w:r>
    </w:p>
    <w:p w14:paraId="33686340" w14:textId="77777777" w:rsidR="00C93B2C" w:rsidRDefault="00C93B2C" w:rsidP="005224B2">
      <w:pPr>
        <w:pStyle w:val="Body"/>
      </w:pPr>
      <w:r>
        <w:t>@HDR can be encoded with the following values</w:t>
      </w:r>
    </w:p>
    <w:p w14:paraId="0E2CD679" w14:textId="43F248AE" w:rsidR="00C93B2C" w:rsidRDefault="00C93B2C" w:rsidP="00C93B2C">
      <w:pPr>
        <w:pStyle w:val="Body"/>
        <w:numPr>
          <w:ilvl w:val="0"/>
          <w:numId w:val="11"/>
        </w:numPr>
      </w:pPr>
      <w:r>
        <w:t>‘true’ – nonspecific HDR</w:t>
      </w:r>
    </w:p>
    <w:p w14:paraId="28F624E0" w14:textId="5DD78072" w:rsidR="00C93B2C" w:rsidRDefault="00C93B2C" w:rsidP="00C93B2C">
      <w:pPr>
        <w:pStyle w:val="Body"/>
        <w:numPr>
          <w:ilvl w:val="0"/>
          <w:numId w:val="11"/>
        </w:numPr>
      </w:pPr>
      <w:r>
        <w:t xml:space="preserve">‘HDR10’ – 10-bit HDR (nonspecific) </w:t>
      </w:r>
    </w:p>
    <w:p w14:paraId="2DD31EF1" w14:textId="071F17CF" w:rsidR="00A5772B" w:rsidRDefault="00C93B2C" w:rsidP="00C93B2C">
      <w:pPr>
        <w:pStyle w:val="Body"/>
        <w:numPr>
          <w:ilvl w:val="0"/>
          <w:numId w:val="11"/>
        </w:numPr>
      </w:pPr>
      <w:r>
        <w:t>‘DV’ – DolbyVision</w:t>
      </w:r>
    </w:p>
    <w:p w14:paraId="1756DDD8" w14:textId="77777777" w:rsidR="00F31559" w:rsidRPr="00345AB5" w:rsidRDefault="00F31559" w:rsidP="00F31559">
      <w:pPr>
        <w:pStyle w:val="Body"/>
      </w:pPr>
      <w:r>
        <w:t xml:space="preserve">RefALID is defined only when AvailType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refALID.  However, there is a special case where the promotion or supplement applies to a series.  As series are not generally availed, such cases are handled by setting RefALID refers to a season of a series or an episode of a miniseries.  </w:t>
      </w:r>
      <w:r w:rsidR="00CA3129">
        <w:t>T</w:t>
      </w:r>
      <w:r w:rsidR="00345AB5">
        <w:t xml:space="preserve">he @refAvailType attribute </w:t>
      </w:r>
      <w:r w:rsidR="00CA3129">
        <w:t>then set ‘series’.  In the case of a season the series is identified by Asset/SeasonMetadata/SeriesMetadata/SeriesContentID</w:t>
      </w:r>
      <w:r w:rsidR="00345AB5">
        <w:t xml:space="preserve">.  </w:t>
      </w:r>
      <w:r w:rsidR="00CA3129">
        <w:t xml:space="preserve"> In the case of miniseries, the miniseries is identified by Asset/EpisodeMetadata/SeriesMetadata/SeriesContentID</w:t>
      </w:r>
    </w:p>
    <w:p w14:paraId="7A895639" w14:textId="77777777" w:rsidR="0097443E" w:rsidRDefault="0097443E" w:rsidP="0097443E">
      <w:pPr>
        <w:pStyle w:val="Heading4"/>
      </w:pPr>
      <w:r>
        <w:t>AvailTerms-type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The precise interpretation is subject to the mutual agreement of parties involved, although guidance is provided within.</w:t>
      </w:r>
    </w:p>
    <w:p w14:paraId="079A356E" w14:textId="77777777" w:rsidR="0097443E" w:rsidRDefault="00EE390C" w:rsidP="0097443E">
      <w:pPr>
        <w:pStyle w:val="Body"/>
      </w:pPr>
      <w:r>
        <w:lastRenderedPageBreak/>
        <w:t xml:space="preserve">Each term is a name/value pair with the name expressed as termName and the value expressed as one of Money, Event, Duration or text depending on the data contained within the term.  If data cannot be otherwise expressed, the any##other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r>
              <w:rPr>
                <w:b/>
              </w:rPr>
              <w:t>AvailTerms-type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r>
              <w:t>termName</w:t>
            </w:r>
          </w:p>
        </w:tc>
        <w:tc>
          <w:tcPr>
            <w:tcW w:w="3289" w:type="dxa"/>
          </w:tcPr>
          <w:p w14:paraId="0203394F" w14:textId="77777777" w:rsidR="0049487D" w:rsidRDefault="000B7166" w:rsidP="00EC0F69">
            <w:pPr>
              <w:pStyle w:val="TableEntry"/>
            </w:pPr>
            <w:r>
              <w:t>Identifies the term.  Enumeration is below.</w:t>
            </w:r>
            <w:r w:rsidR="00EE390C">
              <w:t xml:space="preserve">  termName is case insensitive (i.e., case shall be ignored).</w:t>
            </w:r>
          </w:p>
        </w:tc>
        <w:tc>
          <w:tcPr>
            <w:tcW w:w="1733" w:type="dxa"/>
          </w:tcPr>
          <w:p w14:paraId="50BA32E3" w14:textId="77777777" w:rsidR="0049487D" w:rsidRDefault="0049487D" w:rsidP="00EC0F69">
            <w:pPr>
              <w:pStyle w:val="TableEntry"/>
            </w:pPr>
            <w:r>
              <w:t>xs:string</w:t>
            </w:r>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Used when termName refers to a term expressed in terms of money.</w:t>
            </w:r>
          </w:p>
        </w:tc>
        <w:tc>
          <w:tcPr>
            <w:tcW w:w="1733" w:type="dxa"/>
          </w:tcPr>
          <w:p w14:paraId="2955B055" w14:textId="77777777" w:rsidR="000B7166" w:rsidRDefault="000B7166" w:rsidP="00EC0F69">
            <w:pPr>
              <w:pStyle w:val="TableEntry"/>
            </w:pPr>
            <w:r>
              <w:t>md:Money-type</w:t>
            </w:r>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7DEA4FCD" w:rsidR="000B7166" w:rsidRDefault="000B7166" w:rsidP="000B7166">
            <w:pPr>
              <w:pStyle w:val="TableEntry"/>
            </w:pPr>
            <w:r>
              <w:t>Used when termName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E20D6C">
              <w:t>1.8</w:t>
            </w:r>
            <w:r w:rsidR="001F6B7E">
              <w:fldChar w:fldCharType="end"/>
            </w:r>
            <w:r w:rsidR="001F6B7E">
              <w:t>.</w:t>
            </w:r>
          </w:p>
        </w:tc>
        <w:tc>
          <w:tcPr>
            <w:tcW w:w="1733" w:type="dxa"/>
          </w:tcPr>
          <w:p w14:paraId="75C17609" w14:textId="77777777" w:rsidR="000B7166" w:rsidRDefault="000B7166" w:rsidP="00EC0F69">
            <w:pPr>
              <w:pStyle w:val="TableEntry"/>
            </w:pPr>
            <w:r>
              <w:t>xs:union(xs:date, xs:dateTime)</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Used when termName refers to a term expressed in terms of a time duration.</w:t>
            </w:r>
          </w:p>
        </w:tc>
        <w:tc>
          <w:tcPr>
            <w:tcW w:w="1733" w:type="dxa"/>
          </w:tcPr>
          <w:p w14:paraId="45D33DC1" w14:textId="77777777" w:rsidR="000B7166" w:rsidRDefault="000B7166" w:rsidP="00EC0F69">
            <w:pPr>
              <w:pStyle w:val="TableEntry"/>
            </w:pPr>
            <w:r>
              <w:t>xs:duration</w:t>
            </w:r>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r>
              <w:t>xs:string</w:t>
            </w:r>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r>
              <w:t>xs:anyURI</w:t>
            </w:r>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r>
              <w:t>xs:language</w:t>
            </w:r>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r>
              <w:t>md:id-type</w:t>
            </w:r>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r>
              <w:t>YearDateTime</w:t>
            </w:r>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Year, date or date+time.  For time-only use Time.</w:t>
            </w:r>
          </w:p>
        </w:tc>
        <w:tc>
          <w:tcPr>
            <w:tcW w:w="1733" w:type="dxa"/>
          </w:tcPr>
          <w:p w14:paraId="5CE40DAB" w14:textId="77777777" w:rsidR="000300A3" w:rsidRDefault="000300A3" w:rsidP="00EC0F69">
            <w:pPr>
              <w:pStyle w:val="TableEntry"/>
            </w:pPr>
            <w:r>
              <w:t>md:YearDateOrTime</w:t>
            </w:r>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r>
              <w:t>xs:time</w:t>
            </w:r>
          </w:p>
        </w:tc>
        <w:tc>
          <w:tcPr>
            <w:tcW w:w="814" w:type="dxa"/>
            <w:vMerge/>
          </w:tcPr>
          <w:p w14:paraId="3CD0C9CA" w14:textId="77777777" w:rsidR="000300A3" w:rsidRDefault="000300A3" w:rsidP="00EC0F69">
            <w:pPr>
              <w:pStyle w:val="TableEntry"/>
            </w:pPr>
          </w:p>
        </w:tc>
      </w:tr>
      <w:tr w:rsidR="005811EA" w:rsidRPr="0000320B" w14:paraId="043A986E" w14:textId="77777777" w:rsidTr="00EE390C">
        <w:tc>
          <w:tcPr>
            <w:tcW w:w="2201" w:type="dxa"/>
          </w:tcPr>
          <w:p w14:paraId="3A2861D7" w14:textId="77777777" w:rsidR="005811EA" w:rsidRDefault="005811EA" w:rsidP="00EC0F69">
            <w:pPr>
              <w:pStyle w:val="TableEntry"/>
            </w:pPr>
            <w:r>
              <w:t>Region</w:t>
            </w:r>
          </w:p>
        </w:tc>
        <w:tc>
          <w:tcPr>
            <w:tcW w:w="1438" w:type="dxa"/>
          </w:tcPr>
          <w:p w14:paraId="3A3E3B64" w14:textId="77777777" w:rsidR="005811EA" w:rsidRDefault="005811EA" w:rsidP="00EC0F69">
            <w:pPr>
              <w:pStyle w:val="TableEntry"/>
            </w:pPr>
          </w:p>
        </w:tc>
        <w:tc>
          <w:tcPr>
            <w:tcW w:w="3289" w:type="dxa"/>
          </w:tcPr>
          <w:p w14:paraId="00792D58" w14:textId="77777777" w:rsidR="005811EA" w:rsidRDefault="005811EA" w:rsidP="00EC0F69">
            <w:pPr>
              <w:pStyle w:val="TableEntry"/>
            </w:pPr>
            <w:r>
              <w:t>Geographic area</w:t>
            </w:r>
          </w:p>
        </w:tc>
        <w:tc>
          <w:tcPr>
            <w:tcW w:w="1733" w:type="dxa"/>
          </w:tcPr>
          <w:p w14:paraId="43CD3D6B" w14:textId="77777777" w:rsidR="005811EA" w:rsidRDefault="005811EA" w:rsidP="00EC0F69">
            <w:pPr>
              <w:pStyle w:val="TableEntry"/>
            </w:pPr>
            <w:r>
              <w:t>md:Region-type</w:t>
            </w:r>
          </w:p>
        </w:tc>
        <w:tc>
          <w:tcPr>
            <w:tcW w:w="814" w:type="dxa"/>
            <w:vMerge/>
          </w:tcPr>
          <w:p w14:paraId="33BA1168" w14:textId="77777777" w:rsidR="005811EA" w:rsidRDefault="005811EA" w:rsidP="00EC0F69">
            <w:pPr>
              <w:pStyle w:val="TableEntry"/>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108" w:name="_Toc340780657"/>
    </w:p>
    <w:p w14:paraId="6CB9F3F4" w14:textId="2B88E7D9" w:rsidR="00EE390C" w:rsidRDefault="00143596" w:rsidP="00143596">
      <w:pPr>
        <w:pStyle w:val="Body"/>
        <w:keepNext/>
        <w:ind w:firstLine="0"/>
      </w:pPr>
      <w:r>
        <w:lastRenderedPageBreak/>
        <w:t>The T</w:t>
      </w:r>
      <w:r w:rsidR="00EE390C">
        <w:t>erm specified is indicate</w:t>
      </w:r>
      <w:r w:rsidR="00F76F26">
        <w:t>d</w:t>
      </w:r>
      <w:r w:rsidR="00EE390C">
        <w:t xml:space="preserve"> by termName with the following </w:t>
      </w:r>
      <w:r>
        <w:t>conditions</w:t>
      </w:r>
      <w:r w:rsidR="006C4D72">
        <w:t>.  Only one instance of each term may be included unless otherwise specified.</w:t>
      </w:r>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r w:rsidRPr="003124F4">
              <w:rPr>
                <w:rFonts w:ascii="Arial" w:hAnsi="Arial" w:cs="Arial"/>
              </w:rPr>
              <w:t>termName</w:t>
            </w:r>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r>
              <w:t>EpisodeWSP</w:t>
            </w:r>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r>
              <w:t>SeasonWSP</w:t>
            </w:r>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pPr>
            <w:r>
              <w:t>DMRP</w:t>
            </w:r>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Deemed Minimum Retail Price</w:t>
            </w:r>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pPr>
            <w:r>
              <w:t>SMRP</w:t>
            </w:r>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Suggested Minimum Retailer Price</w:t>
            </w:r>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27D79" w:rsidRPr="005811EA" w14:paraId="533E0494"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pPr>
            <w:r>
              <w:t>TPR-</w:t>
            </w:r>
            <w:r w:rsidRPr="00127D79">
              <w:rPr>
                <w:i/>
              </w:rPr>
              <w:t>x</w:t>
            </w:r>
          </w:p>
        </w:tc>
        <w:tc>
          <w:tcPr>
            <w:tcW w:w="6570" w:type="dxa"/>
          </w:tcPr>
          <w:p w14:paraId="5EFB61DC" w14:textId="314935F3"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Temporary Price Reduction.  ‘x’ represent represents another PriceType.  For example, a temporary price reduction for WSP would be represented “TPR-WRP”.</w:t>
            </w:r>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Money</w:t>
            </w:r>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highlight w:val="yellow"/>
              </w:rPr>
            </w:pPr>
            <w:r w:rsidRPr="001D2EAC">
              <w:t>LicenseFee</w:t>
            </w:r>
          </w:p>
        </w:tc>
        <w:tc>
          <w:tcPr>
            <w:tcW w:w="6570" w:type="dxa"/>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highlight w:val="yellow"/>
              </w:rPr>
            </w:pPr>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pPr>
            <w:r w:rsidRPr="001D2EAC">
              <w:t>Text</w:t>
            </w:r>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pPr>
            <w:r>
              <w:t>Included</w:t>
            </w:r>
          </w:p>
        </w:tc>
        <w:tc>
          <w:tcPr>
            <w:tcW w:w="6570" w:type="dxa"/>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Indicates item is not priced, but included with another Avail.  ID is ALID of the object in which it is bundled.  Item is not otherwise priced as it is included for free.</w:t>
            </w:r>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ID</w:t>
            </w:r>
          </w:p>
        </w:tc>
      </w:tr>
      <w:tr w:rsidR="004655B9" w14:paraId="365DC77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81AB09B" w14:textId="0B385B24" w:rsidR="004655B9" w:rsidRDefault="004655B9" w:rsidP="004655B9">
            <w:pPr>
              <w:pStyle w:val="TableEntry"/>
            </w:pPr>
            <w:r>
              <w:t>SuppressionLiftDate</w:t>
            </w:r>
          </w:p>
        </w:tc>
        <w:tc>
          <w:tcPr>
            <w:tcW w:w="6570" w:type="dxa"/>
          </w:tcPr>
          <w:p w14:paraId="32F616A8" w14:textId="428F52FD" w:rsidR="004655B9" w:rsidRDefault="004655B9" w:rsidP="004655B9">
            <w:pPr>
              <w:pStyle w:val="TableEntry"/>
              <w:cnfStyle w:val="000000000000" w:firstRow="0" w:lastRow="0" w:firstColumn="0" w:lastColumn="0" w:oddVBand="0" w:evenVBand="0" w:oddHBand="0" w:evenHBand="0" w:firstRowFirstColumn="0" w:firstRowLastColumn="0" w:lastRowFirstColumn="0" w:lastRowLastColumn="0"/>
            </w:pPr>
            <w:r w:rsidRPr="004655B9">
              <w:t>First date a title could be publicly announced as becoming available at a specific futu</w:t>
            </w:r>
            <w:r w:rsidR="005E5A5F">
              <w:t>re date in territory of avail.</w:t>
            </w:r>
            <w:r w:rsidRPr="004655B9">
              <w:t xml:space="preserve"> </w:t>
            </w:r>
            <w:r w:rsidR="005B04E0">
              <w:t xml:space="preserve">See Section </w:t>
            </w:r>
            <w:r w:rsidR="005B04E0">
              <w:fldChar w:fldCharType="begin"/>
            </w:r>
            <w:r w:rsidR="005B04E0">
              <w:instrText xml:space="preserve"> REF _Ref464745726 \r \h </w:instrText>
            </w:r>
            <w:r w:rsidR="005B04E0">
              <w:fldChar w:fldCharType="separate"/>
            </w:r>
            <w:r w:rsidR="00E20D6C">
              <w:t>2.2.5</w:t>
            </w:r>
            <w:r w:rsidR="005B04E0">
              <w:fldChar w:fldCharType="end"/>
            </w:r>
            <w:r w:rsidR="005B04E0">
              <w:t xml:space="preserve">.  </w:t>
            </w:r>
          </w:p>
        </w:tc>
        <w:tc>
          <w:tcPr>
            <w:tcW w:w="1025" w:type="dxa"/>
          </w:tcPr>
          <w:p w14:paraId="25CFF7AF" w14:textId="77777777" w:rsidR="004655B9" w:rsidRDefault="004655B9" w:rsidP="004655B9">
            <w:pPr>
              <w:pStyle w:val="TableEntry"/>
              <w:cnfStyle w:val="000000000000" w:firstRow="0" w:lastRow="0" w:firstColumn="0" w:lastColumn="0" w:oddVBand="0" w:evenVBand="0" w:oddHBand="0" w:evenHBand="0" w:firstRowFirstColumn="0" w:firstRowLastColumn="0" w:lastRowFirstColumn="0" w:lastRowLastColumn="0"/>
            </w:pPr>
            <w:r>
              <w:t>Event</w:t>
            </w:r>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r>
              <w:t>AnnounceDate</w:t>
            </w:r>
          </w:p>
        </w:tc>
        <w:tc>
          <w:tcPr>
            <w:tcW w:w="6570" w:type="dxa"/>
          </w:tcPr>
          <w:p w14:paraId="02603A55" w14:textId="47B1987F"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r w:rsidR="005E5A5F">
              <w:t xml:space="preserve">  </w:t>
            </w:r>
            <w:r w:rsidR="005B04E0">
              <w:t xml:space="preserve">See Section </w:t>
            </w:r>
            <w:r w:rsidR="005B04E0">
              <w:fldChar w:fldCharType="begin"/>
            </w:r>
            <w:r w:rsidR="005B04E0">
              <w:instrText xml:space="preserve"> REF _Ref464745726 \r \h </w:instrText>
            </w:r>
            <w:r w:rsidR="005B04E0">
              <w:fldChar w:fldCharType="separate"/>
            </w:r>
            <w:r w:rsidR="00E20D6C">
              <w:t>2.2.5</w:t>
            </w:r>
            <w:r w:rsidR="005B04E0">
              <w:fldChar w:fldCharType="end"/>
            </w:r>
            <w:r w:rsidR="005B04E0">
              <w:t>.</w:t>
            </w:r>
            <w:r w:rsidR="005E5A5F">
              <w:t xml:space="preserve">  </w:t>
            </w:r>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6F82745A"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4517B0EB" w14:textId="77777777" w:rsidR="003124F4" w:rsidRDefault="00B41019" w:rsidP="00CB09C0">
            <w:pPr>
              <w:pStyle w:val="TableEntry"/>
            </w:pPr>
            <w:r>
              <w:t>PreorderFulfillDate</w:t>
            </w:r>
          </w:p>
        </w:tc>
        <w:tc>
          <w:tcPr>
            <w:tcW w:w="6570" w:type="dxa"/>
          </w:tcPr>
          <w:p w14:paraId="38EB0961" w14:textId="017EF5DE" w:rsidR="003124F4" w:rsidRDefault="00B41019" w:rsidP="00B41019">
            <w:pPr>
              <w:pStyle w:val="TableEntry"/>
              <w:cnfStyle w:val="000000000000" w:firstRow="0" w:lastRow="0" w:firstColumn="0" w:lastColumn="0" w:oddVBand="0" w:evenVBand="0" w:oddHBand="0" w:evenHBand="0" w:firstRowFirstColumn="0" w:firstRowLastColumn="0" w:lastRowFirstColumn="0" w:lastRowLastColumn="0"/>
            </w:pPr>
            <w:r>
              <w:t xml:space="preserve">Date that a pre-order video can be released to a consumer for viewing. </w:t>
            </w:r>
            <w:r w:rsidR="006B5878">
              <w:t>Only applies to pre-order license types.  If omitted, fulfillment date is EST start.</w:t>
            </w:r>
            <w:r w:rsidR="005B04E0">
              <w:t xml:space="preserve"> See Section </w:t>
            </w:r>
            <w:r w:rsidR="005B04E0">
              <w:fldChar w:fldCharType="begin"/>
            </w:r>
            <w:r w:rsidR="005B04E0">
              <w:instrText xml:space="preserve"> REF _Ref464745726 \r \h </w:instrText>
            </w:r>
            <w:r w:rsidR="005B04E0">
              <w:fldChar w:fldCharType="separate"/>
            </w:r>
            <w:r w:rsidR="00E20D6C">
              <w:t>2.2.5</w:t>
            </w:r>
            <w:r w:rsidR="005B04E0">
              <w:fldChar w:fldCharType="end"/>
            </w:r>
            <w:r w:rsidR="005B04E0">
              <w:t xml:space="preserve">.  </w:t>
            </w:r>
          </w:p>
        </w:tc>
        <w:tc>
          <w:tcPr>
            <w:tcW w:w="1025" w:type="dxa"/>
          </w:tcPr>
          <w:p w14:paraId="2BD39832" w14:textId="77777777"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639383D9" w:rsidR="00EE390C" w:rsidRDefault="00EE390C" w:rsidP="00CB09C0">
            <w:pPr>
              <w:pStyle w:val="TableEntry"/>
            </w:pPr>
            <w:r>
              <w:t>RentalDuration</w:t>
            </w:r>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2D36015D" w:rsidR="00EE390C" w:rsidRDefault="00EE390C" w:rsidP="00CB09C0">
            <w:pPr>
              <w:pStyle w:val="TableEntry"/>
            </w:pPr>
            <w:r>
              <w:t>WatchDuration</w:t>
            </w:r>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How long user has to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r>
              <w:t>FixedEndDate</w:t>
            </w:r>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D10B1" w:rsidRPr="0000320B" w14:paraId="0C023D9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r>
              <w:t>LocalizationOffering</w:t>
            </w:r>
          </w:p>
        </w:tc>
        <w:tc>
          <w:tcPr>
            <w:tcW w:w="6570" w:type="dxa"/>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bl>
    <w:p w14:paraId="40532E26" w14:textId="77777777" w:rsidR="00EE390C" w:rsidRDefault="00EE390C" w:rsidP="00EE390C">
      <w:pPr>
        <w:pStyle w:val="Body"/>
      </w:pPr>
      <w:r>
        <w:lastRenderedPageBreak/>
        <w:t xml:space="preserve">If value is post-tax, then the term “-PostTax” should be appended.  For example, if Episode WSP is expressed post-tax it would be “EpisodeWSP-PostTax”.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108"/>
      <w:r w:rsidR="003124F4">
        <w:t xml:space="preserve"> </w:t>
      </w:r>
      <w:r w:rsidR="0097443E">
        <w:t>ISO4217 typically allows two or three digits after the decimal. However, Value in this element may have as many decimal places as necessary.</w:t>
      </w:r>
    </w:p>
    <w:p w14:paraId="1CAACF9F" w14:textId="6993D416" w:rsidR="005E5A5F" w:rsidRDefault="00154B14" w:rsidP="007B665B">
      <w:pPr>
        <w:pStyle w:val="Body"/>
      </w:pPr>
      <w:r>
        <w:t xml:space="preserve">If currency is omitted, it is to be handled in accordance with bilateral agreements.  If there is no specific agreement, currency is the currency associated with Territory. </w:t>
      </w:r>
    </w:p>
    <w:p w14:paraId="53541F20" w14:textId="77777777" w:rsidR="00EB4D7F" w:rsidRDefault="00EB4D7F" w:rsidP="00EB4D7F">
      <w:pPr>
        <w:pStyle w:val="Heading3"/>
      </w:pPr>
      <w:bookmarkStart w:id="109" w:name="_Toc432473482"/>
      <w:bookmarkStart w:id="110" w:name="_Toc467013493"/>
      <w:r>
        <w:t>AvailSharedEntitlement-type</w:t>
      </w:r>
      <w:bookmarkEnd w:id="109"/>
      <w:bookmarkEnd w:id="110"/>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pPr>
      <w:r>
        <w:t>An Avail might correspond with multiple IDs within each ecosystem.  For example, if a TV season is avail’d for UltraViolet, there must be an EcosystemID for each episode. If multiple instances of EcosystemID exist with the same @ecosystem, all ID should be e</w:t>
      </w:r>
      <w:r w:rsidR="006F374F">
        <w:t xml:space="preserve">ntitled within that ecosystem. </w:t>
      </w:r>
    </w:p>
    <w:p w14:paraId="52197D90" w14:textId="77777777" w:rsidR="006F374F" w:rsidRDefault="006F374F" w:rsidP="003A1060">
      <w:pPr>
        <w:pStyle w:val="Body"/>
      </w:pPr>
      <w:r>
        <w:t>When posting Ecosystem IDs, instances in Avail/SharedEntitlement and in Avail/Asset/Bundled/Asset/SharedEntitlement most all be included.</w:t>
      </w:r>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r w:rsidRPr="003A1060">
              <w:rPr>
                <w:b/>
                <w:sz w:val="20"/>
                <w:szCs w:val="20"/>
              </w:rPr>
              <w:t>AvailSharedEntitlement-type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r w:rsidRPr="00A5391B">
              <w:rPr>
                <w:sz w:val="20"/>
                <w:szCs w:val="20"/>
              </w:rPr>
              <w:t>xs:string</w:t>
            </w:r>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r w:rsidRPr="003A1060">
              <w:rPr>
                <w:sz w:val="20"/>
                <w:szCs w:val="20"/>
              </w:rPr>
              <w:t>EcosystemID</w:t>
            </w:r>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r w:rsidRPr="00A5391B">
              <w:rPr>
                <w:sz w:val="20"/>
                <w:szCs w:val="20"/>
              </w:rPr>
              <w:t>xs:string</w:t>
            </w:r>
          </w:p>
        </w:tc>
        <w:tc>
          <w:tcPr>
            <w:tcW w:w="1080" w:type="dxa"/>
          </w:tcPr>
          <w:p w14:paraId="2863C38A" w14:textId="77777777" w:rsidR="003A1060" w:rsidRPr="00A5391B" w:rsidRDefault="00705AE8" w:rsidP="00065460">
            <w:pPr>
              <w:pStyle w:val="XMLTable"/>
              <w:rPr>
                <w:sz w:val="20"/>
                <w:szCs w:val="20"/>
              </w:rPr>
            </w:pPr>
            <w:r>
              <w:rPr>
                <w:sz w:val="20"/>
                <w:szCs w:val="20"/>
              </w:rPr>
              <w:t>1..n</w:t>
            </w:r>
          </w:p>
        </w:tc>
      </w:tr>
      <w:tr w:rsidR="00075EC0" w:rsidRPr="00015599" w14:paraId="54F3E215" w14:textId="77777777" w:rsidTr="006F374F">
        <w:trPr>
          <w:cantSplit/>
          <w:trHeight w:val="307"/>
          <w:tblHeader/>
        </w:trPr>
        <w:tc>
          <w:tcPr>
            <w:tcW w:w="2605" w:type="dxa"/>
          </w:tcPr>
          <w:p w14:paraId="4AE625EE" w14:textId="0BDF04FC" w:rsidR="00075EC0" w:rsidRPr="003A1060" w:rsidRDefault="00075EC0" w:rsidP="00065460">
            <w:pPr>
              <w:pStyle w:val="XMLTable"/>
              <w:rPr>
                <w:sz w:val="20"/>
                <w:szCs w:val="20"/>
              </w:rPr>
            </w:pPr>
            <w:r>
              <w:rPr>
                <w:sz w:val="20"/>
                <w:szCs w:val="20"/>
              </w:rPr>
              <w:t>DepricatedEcosystemID</w:t>
            </w:r>
          </w:p>
        </w:tc>
        <w:tc>
          <w:tcPr>
            <w:tcW w:w="1170" w:type="dxa"/>
          </w:tcPr>
          <w:p w14:paraId="7A49FB84" w14:textId="77777777" w:rsidR="00075EC0" w:rsidRPr="00A5391B" w:rsidRDefault="00075EC0" w:rsidP="00065460">
            <w:pPr>
              <w:pStyle w:val="XMLTable"/>
              <w:rPr>
                <w:sz w:val="20"/>
                <w:szCs w:val="20"/>
              </w:rPr>
            </w:pPr>
          </w:p>
        </w:tc>
        <w:tc>
          <w:tcPr>
            <w:tcW w:w="3173" w:type="dxa"/>
          </w:tcPr>
          <w:p w14:paraId="0342F1EA" w14:textId="77777777" w:rsidR="00075EC0" w:rsidRPr="00A5391B" w:rsidRDefault="00075EC0" w:rsidP="00065460">
            <w:pPr>
              <w:pStyle w:val="XMLTable"/>
              <w:rPr>
                <w:sz w:val="20"/>
                <w:szCs w:val="20"/>
              </w:rPr>
            </w:pPr>
            <w:r>
              <w:rPr>
                <w:sz w:val="20"/>
                <w:szCs w:val="20"/>
              </w:rPr>
              <w:t>ID that has been replaced by another ID</w:t>
            </w:r>
          </w:p>
        </w:tc>
        <w:tc>
          <w:tcPr>
            <w:tcW w:w="1417" w:type="dxa"/>
          </w:tcPr>
          <w:p w14:paraId="3A475455" w14:textId="77777777" w:rsidR="00075EC0" w:rsidRPr="00A5391B" w:rsidRDefault="00075EC0" w:rsidP="00065460">
            <w:pPr>
              <w:pStyle w:val="XMLTable"/>
              <w:rPr>
                <w:sz w:val="20"/>
                <w:szCs w:val="20"/>
              </w:rPr>
            </w:pPr>
            <w:r>
              <w:rPr>
                <w:sz w:val="20"/>
                <w:szCs w:val="20"/>
              </w:rPr>
              <w:t>xs:string</w:t>
            </w:r>
          </w:p>
        </w:tc>
        <w:tc>
          <w:tcPr>
            <w:tcW w:w="1080" w:type="dxa"/>
          </w:tcPr>
          <w:p w14:paraId="5D7B0ECE" w14:textId="77777777" w:rsidR="00075EC0" w:rsidRDefault="00075EC0" w:rsidP="00065460">
            <w:pPr>
              <w:pStyle w:val="XMLTable"/>
              <w:rPr>
                <w:sz w:val="20"/>
                <w:szCs w:val="20"/>
              </w:rPr>
            </w:pPr>
            <w:r>
              <w:rPr>
                <w:sz w:val="20"/>
                <w:szCs w:val="20"/>
              </w:rPr>
              <w:t>0..n</w:t>
            </w:r>
          </w:p>
        </w:tc>
      </w:tr>
    </w:tbl>
    <w:p w14:paraId="2B351307" w14:textId="77777777" w:rsidR="003A1060" w:rsidRDefault="003A1060" w:rsidP="003A1060">
      <w:pPr>
        <w:pStyle w:val="Body"/>
      </w:pPr>
    </w:p>
    <w:p w14:paraId="2E27AD64" w14:textId="6587E2D3" w:rsidR="003A1060" w:rsidRDefault="0081143A" w:rsidP="003A1060">
      <w:pPr>
        <w:pStyle w:val="Body"/>
      </w:pPr>
      <w:r>
        <w:t xml:space="preserve">The </w:t>
      </w:r>
      <w:r w:rsidR="00BA35AC">
        <w:t>e</w:t>
      </w:r>
      <w:r w:rsidR="003A1060">
        <w:t xml:space="preserve">cosystem </w:t>
      </w:r>
      <w:r>
        <w:t xml:space="preserve">attribute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pPr>
      <w:bookmarkStart w:id="111" w:name="_Ref464745726"/>
      <w:bookmarkStart w:id="112" w:name="_Toc467013494"/>
      <w:r>
        <w:t>Relationship between date Terms</w:t>
      </w:r>
      <w:bookmarkEnd w:id="111"/>
      <w:bookmarkEnd w:id="112"/>
    </w:p>
    <w:p w14:paraId="70C57326" w14:textId="52127807" w:rsidR="005B04E0" w:rsidRDefault="005B04E0" w:rsidP="005B04E0">
      <w:pPr>
        <w:pStyle w:val="Body"/>
      </w:pPr>
      <w:r>
        <w:t xml:space="preserve">There are several date elements and Terms.  The following describes the default definitions.  Bilaterally agreed upon </w:t>
      </w:r>
      <w:r w:rsidR="00DD37B5">
        <w:t xml:space="preserve">definitions </w:t>
      </w:r>
      <w:r>
        <w:t xml:space="preserve">always supersede definitions in the specification. </w:t>
      </w:r>
    </w:p>
    <w:p w14:paraId="61DF611A" w14:textId="77777777" w:rsidR="005B04E0" w:rsidRDefault="005B04E0" w:rsidP="005B04E0">
      <w:pPr>
        <w:pStyle w:val="Body"/>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License Type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Start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End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AnnounceDate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SuppressionLiftDate</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
        </w:tc>
      </w:tr>
      <w:tr w:rsidR="005B04E0" w:rsidRPr="00DF2813" w14:paraId="779123A3"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lastRenderedPageBreak/>
              <w:t>POEST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accepting preorder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Stop accepting preorder.  If </w:t>
            </w:r>
            <w:r>
              <w:rPr>
                <w:rFonts w:ascii="Arial Narrow" w:hAnsi="Arial Narrow" w:cs="Calibri"/>
                <w:sz w:val="20"/>
              </w:rPr>
              <w:t>“</w:t>
            </w:r>
            <w:r w:rsidRPr="002C075D">
              <w:rPr>
                <w:rFonts w:ascii="Arial Narrow" w:hAnsi="Arial Narrow" w:cs="Calibri"/>
                <w:sz w:val="20"/>
              </w:rPr>
              <w:t>ESTStart</w:t>
            </w:r>
            <w:r>
              <w:rPr>
                <w:rFonts w:ascii="Arial Narrow" w:hAnsi="Arial Narrow" w:cs="Calibri"/>
                <w:sz w:val="20"/>
              </w:rPr>
              <w:t>”</w:t>
            </w:r>
            <w:r w:rsidRPr="002C075D">
              <w:rPr>
                <w:rFonts w:ascii="Arial Narrow" w:hAnsi="Arial Narrow" w:cs="Calibri"/>
                <w:sz w:val="20"/>
              </w:rPr>
              <w:t xml:space="preserve"> then it’s Start for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p>
        </w:tc>
      </w:tr>
      <w:tr w:rsidR="005B04E0" w:rsidRPr="00DF2813" w14:paraId="086CDF4E"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Stop accepting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Date when you can announce EST Start.  Must same as POEST SuppressionLiftDate (if both given)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r>
    </w:tbl>
    <w:p w14:paraId="53BF6084" w14:textId="77777777" w:rsidR="005B04E0" w:rsidRPr="007B665B" w:rsidRDefault="005B04E0" w:rsidP="005B04E0">
      <w:pPr>
        <w:pStyle w:val="Body"/>
      </w:pPr>
    </w:p>
    <w:p w14:paraId="012DD3BD" w14:textId="03265723" w:rsidR="005B04E0" w:rsidRDefault="00A417EC" w:rsidP="005B04E0">
      <w:pPr>
        <w:pStyle w:val="Body"/>
        <w:ind w:firstLine="0"/>
      </w:pPr>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14.75pt" o:ole="">
            <v:imagedata r:id="rId25" o:title=""/>
          </v:shape>
          <o:OLEObject Type="Embed" ProgID="Visio.Drawing.11" ShapeID="_x0000_i1025" DrawAspect="Content" ObjectID="_1540755653" r:id="rId26"/>
        </w:object>
      </w:r>
    </w:p>
    <w:p w14:paraId="70E994C1" w14:textId="77777777" w:rsidR="003F27A0" w:rsidRDefault="003F27A0" w:rsidP="005B04E0">
      <w:pPr>
        <w:pStyle w:val="Body"/>
        <w:ind w:firstLine="0"/>
      </w:pPr>
    </w:p>
    <w:p w14:paraId="61F95223" w14:textId="5F5B6946" w:rsidR="00A417EC" w:rsidRDefault="00A417EC" w:rsidP="005B04E0">
      <w:pPr>
        <w:pStyle w:val="Body"/>
        <w:ind w:firstLine="0"/>
      </w:pPr>
      <w:r>
        <w:object w:dxaOrig="8185" w:dyaOrig="1386" w14:anchorId="579A8E8C">
          <v:shape id="_x0000_i1026" type="#_x0000_t75" style="width:409.5pt;height:69pt" o:ole="">
            <v:imagedata r:id="rId27" o:title=""/>
          </v:shape>
          <o:OLEObject Type="Embed" ProgID="Visio.Drawing.11" ShapeID="_x0000_i1026" DrawAspect="Content" ObjectID="_1540755654" r:id="rId28"/>
        </w:object>
      </w:r>
    </w:p>
    <w:p w14:paraId="34E507EF" w14:textId="77777777" w:rsidR="00855CA5" w:rsidRDefault="00067EA4" w:rsidP="00067EA4">
      <w:pPr>
        <w:pStyle w:val="Heading1"/>
      </w:pPr>
      <w:bookmarkStart w:id="113" w:name="_Toc432473483"/>
      <w:bookmarkStart w:id="114" w:name="_Toc467013495"/>
      <w:bookmarkEnd w:id="2"/>
      <w:bookmarkEnd w:id="3"/>
      <w:bookmarkEnd w:id="89"/>
      <w:r>
        <w:lastRenderedPageBreak/>
        <w:t>Digitally Signed Avails</w:t>
      </w:r>
      <w:bookmarkEnd w:id="113"/>
      <w:bookmarkEnd w:id="114"/>
    </w:p>
    <w:p w14:paraId="516E2F25" w14:textId="77777777" w:rsidR="00067EA4" w:rsidRDefault="00067EA4" w:rsidP="00067EA4">
      <w:pPr>
        <w:pStyle w:val="Body"/>
      </w:pPr>
      <w:r>
        <w:t>To support the signing of avails to avoid tampering and also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115" w:name="_Toc432473484"/>
      <w:bookmarkStart w:id="116" w:name="_Toc269901058"/>
      <w:bookmarkStart w:id="117" w:name="_Toc467013496"/>
      <w:r>
        <w:t>Signed Container (AvailListSigned)</w:t>
      </w:r>
      <w:bookmarkEnd w:id="115"/>
      <w:bookmarkEnd w:id="117"/>
    </w:p>
    <w:p w14:paraId="04E334DE" w14:textId="77777777" w:rsidR="00067EA4" w:rsidRDefault="00067EA4" w:rsidP="00067EA4">
      <w:pPr>
        <w:pStyle w:val="Body"/>
      </w:pPr>
      <w:r>
        <w:t>An element AvailListSigned, defined as AvailListSigned-type, contains an AvailList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r w:rsidRPr="00067EA4">
              <w:rPr>
                <w:b/>
              </w:rPr>
              <w:t>AvailListSigned-type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r>
              <w:t>avail:AvailList-type</w:t>
            </w:r>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r>
              <w:t>xmldsig Signature.  See “Signed XML” below. (optional)</w:t>
            </w:r>
          </w:p>
        </w:tc>
        <w:tc>
          <w:tcPr>
            <w:tcW w:w="2794" w:type="dxa"/>
          </w:tcPr>
          <w:p w14:paraId="6C1E8C74" w14:textId="77777777" w:rsidR="00067EA4" w:rsidRDefault="00067EA4" w:rsidP="00067EA4">
            <w:pPr>
              <w:pStyle w:val="XMLTable"/>
            </w:pPr>
            <w:r>
              <w:t>ds:SignatureType</w:t>
            </w:r>
          </w:p>
        </w:tc>
      </w:tr>
    </w:tbl>
    <w:p w14:paraId="5B5E1ADB" w14:textId="77777777" w:rsidR="00750244" w:rsidRDefault="00750244" w:rsidP="00750244">
      <w:pPr>
        <w:pStyle w:val="Heading2"/>
      </w:pPr>
      <w:bookmarkStart w:id="118" w:name="_Toc432473485"/>
      <w:bookmarkStart w:id="119" w:name="_Toc467013497"/>
      <w:bookmarkEnd w:id="116"/>
      <w:r>
        <w:t>Signed XML</w:t>
      </w:r>
      <w:bookmarkEnd w:id="118"/>
      <w:bookmarkEnd w:id="119"/>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9"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r w:rsidRPr="002F12F2">
        <w:t>CanonicalizationMethod</w:t>
      </w:r>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0"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r w:rsidRPr="002F12F2">
        <w:t>SignatureMethod</w:t>
      </w:r>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For Digest</w:t>
      </w:r>
      <w:r w:rsidRPr="002F12F2">
        <w:t>Method</w:t>
      </w:r>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r w:rsidRPr="00E432E2">
        <w:rPr>
          <w:highlight w:val="white"/>
        </w:rPr>
        <w:t>&lt;?xml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AvailListSigned</w:t>
      </w:r>
      <w:r w:rsidRPr="00FB32FE">
        <w:rPr>
          <w:color w:val="FF0000"/>
          <w:szCs w:val="16"/>
          <w:highlight w:val="white"/>
        </w:rPr>
        <w:t xml:space="preserve"> xmlns</w:t>
      </w:r>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xmlns:xsi</w:t>
      </w:r>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r w:rsidRPr="00FB32FE">
        <w:rPr>
          <w:color w:val="FF0000"/>
          <w:szCs w:val="16"/>
          <w:highlight w:val="white"/>
        </w:rPr>
        <w:lastRenderedPageBreak/>
        <w:t>xmlns:md</w:t>
      </w:r>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xmlns:mdmec</w:t>
      </w:r>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r w:rsidRPr="00FB32FE">
        <w:rPr>
          <w:color w:val="800000"/>
          <w:szCs w:val="16"/>
          <w:highlight w:val="white"/>
        </w:rPr>
        <w:t>Avail</w:t>
      </w:r>
      <w:r>
        <w:rPr>
          <w:color w:val="800000"/>
          <w:szCs w:val="16"/>
          <w:highlight w:val="white"/>
        </w:rPr>
        <w:t>List</w:t>
      </w:r>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r w:rsidRPr="00E432E2">
        <w:rPr>
          <w:color w:val="800000"/>
          <w:highlight w:val="white"/>
        </w:rPr>
        <w:t>ds:Signature</w:t>
      </w:r>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ds:SignedInfo</w:t>
      </w:r>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ds:CanonicalizationMethod</w:t>
      </w:r>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ds:SignatureMethod</w:t>
      </w:r>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ds:Reference</w:t>
      </w:r>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ds:DigestMethod</w:t>
      </w:r>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ds:DigestValue</w:t>
      </w:r>
      <w:r w:rsidRPr="00E432E2">
        <w:rPr>
          <w:color w:val="0000FF"/>
          <w:highlight w:val="white"/>
        </w:rPr>
        <w:t>&gt;</w:t>
      </w:r>
      <w:r w:rsidRPr="00E432E2">
        <w:rPr>
          <w:color w:val="000000"/>
          <w:highlight w:val="white"/>
        </w:rPr>
        <w:t>6hpmccmjxQmAI143OhQfIWpkryw=</w:t>
      </w:r>
      <w:r w:rsidRPr="00E432E2">
        <w:rPr>
          <w:color w:val="0000FF"/>
          <w:highlight w:val="white"/>
        </w:rPr>
        <w:t>&lt;/</w:t>
      </w:r>
      <w:r w:rsidRPr="00E432E2">
        <w:rPr>
          <w:color w:val="800000"/>
          <w:highlight w:val="white"/>
        </w:rPr>
        <w:t>ds:DigestValue</w:t>
      </w:r>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ds:Reference</w:t>
      </w:r>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ds:SignedInfo</w:t>
      </w:r>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r w:rsidRPr="00E432E2">
        <w:rPr>
          <w:color w:val="800000"/>
          <w:highlight w:val="white"/>
        </w:rPr>
        <w:t>ds:SignatureValue</w:t>
      </w:r>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CN=TestSignCert</w:t>
      </w:r>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KeyInfo</w:t>
      </w:r>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r w:rsidRPr="00E432E2">
        <w:rPr>
          <w:color w:val="800000"/>
          <w:highlight w:val="white"/>
        </w:rPr>
        <w:t>ds:Signature</w:t>
      </w:r>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r w:rsidRPr="00E432E2">
        <w:rPr>
          <w:color w:val="800000"/>
          <w:highlight w:val="white"/>
        </w:rPr>
        <w:t>MessageEnvelope</w:t>
      </w:r>
      <w:r w:rsidRPr="00E432E2">
        <w:rPr>
          <w:color w:val="0000FF"/>
          <w:highlight w:val="white"/>
        </w:rPr>
        <w:t>&gt;</w:t>
      </w:r>
    </w:p>
    <w:p w14:paraId="4A68A4F3" w14:textId="77777777" w:rsidR="00750244" w:rsidRDefault="00750244" w:rsidP="00750244">
      <w:pPr>
        <w:pStyle w:val="Body"/>
      </w:pPr>
      <w:r>
        <w:t>Note that senders must use the same certificate, as defined in the KeyInfo element of the XMLDSig,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3"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4"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D0C9" w14:textId="77777777" w:rsidR="00A549AF" w:rsidRDefault="00A549AF">
      <w:r>
        <w:separator/>
      </w:r>
    </w:p>
  </w:endnote>
  <w:endnote w:type="continuationSeparator" w:id="0">
    <w:p w14:paraId="3C61666A" w14:textId="77777777" w:rsidR="00A549AF" w:rsidRDefault="00A5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5122ECBE" w:rsidR="00DF5E61" w:rsidRDefault="00DF5E61"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B7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47B56">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0404" w14:textId="77777777" w:rsidR="00A549AF" w:rsidRDefault="00A549AF">
      <w:r>
        <w:separator/>
      </w:r>
    </w:p>
  </w:footnote>
  <w:footnote w:type="continuationSeparator" w:id="0">
    <w:p w14:paraId="5ECE945B" w14:textId="77777777" w:rsidR="00A549AF" w:rsidRDefault="00A5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DF5E61"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DF5E61" w:rsidRDefault="00AE4AD2"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sidR="00DF5E61">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5"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5E61">
            <w:rPr>
              <w:noProof/>
            </w:rPr>
            <w:drawing>
              <wp:inline distT="0" distB="0" distL="0" distR="0" wp14:anchorId="12779489" wp14:editId="5FD4E812">
                <wp:extent cx="1193110" cy="481431"/>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sidR="00DF5E61">
            <w:rPr>
              <w:noProof/>
            </w:rPr>
            <w:t xml:space="preserve"> </w:t>
          </w:r>
        </w:p>
      </w:tc>
      <w:tc>
        <w:tcPr>
          <w:tcW w:w="268" w:type="dxa"/>
          <w:vMerge w:val="restart"/>
          <w:tcBorders>
            <w:top w:val="nil"/>
            <w:left w:val="nil"/>
            <w:bottom w:val="nil"/>
            <w:right w:val="nil"/>
          </w:tcBorders>
          <w:vAlign w:val="center"/>
        </w:tcPr>
        <w:p w14:paraId="344E9CF2" w14:textId="1C83DCD1" w:rsidR="00DF5E61" w:rsidRPr="00944D81" w:rsidRDefault="00DF5E61" w:rsidP="00371470">
          <w:pPr>
            <w:pStyle w:val="Header"/>
            <w:rPr>
              <w:b/>
              <w:bCs/>
              <w:color w:val="FF0000"/>
            </w:rPr>
          </w:pPr>
        </w:p>
      </w:tc>
      <w:tc>
        <w:tcPr>
          <w:tcW w:w="4373" w:type="dxa"/>
          <w:vMerge w:val="restart"/>
          <w:tcBorders>
            <w:top w:val="nil"/>
            <w:left w:val="nil"/>
            <w:bottom w:val="nil"/>
            <w:right w:val="nil"/>
          </w:tcBorders>
          <w:vAlign w:val="center"/>
        </w:tcPr>
        <w:p w14:paraId="46E7C6FB" w14:textId="76BC997E" w:rsidR="00DF5E61" w:rsidRDefault="00DF5E61" w:rsidP="000C7D55">
          <w:pPr>
            <w:pStyle w:val="Header"/>
            <w:jc w:val="center"/>
            <w:rPr>
              <w:b/>
              <w:sz w:val="32"/>
              <w:szCs w:val="24"/>
              <w:lang w:val="en-GB"/>
            </w:rPr>
          </w:pPr>
          <w:r>
            <w:rPr>
              <w:b/>
              <w:sz w:val="32"/>
              <w:szCs w:val="24"/>
              <w:lang w:val="en-GB"/>
            </w:rPr>
            <w:t>Avails</w:t>
          </w:r>
        </w:p>
        <w:p w14:paraId="44C96792" w14:textId="05CEF3DE" w:rsidR="00DF5E61" w:rsidRPr="000C7D55" w:rsidRDefault="00DF5E61" w:rsidP="000C7D55">
          <w:pPr>
            <w:pStyle w:val="Header"/>
            <w:jc w:val="center"/>
            <w:rPr>
              <w:b/>
              <w:sz w:val="32"/>
              <w:szCs w:val="24"/>
              <w:lang w:val="en-GB"/>
            </w:rPr>
          </w:pPr>
        </w:p>
      </w:tc>
      <w:tc>
        <w:tcPr>
          <w:tcW w:w="3843" w:type="dxa"/>
          <w:tcBorders>
            <w:top w:val="nil"/>
            <w:left w:val="nil"/>
            <w:bottom w:val="nil"/>
            <w:right w:val="nil"/>
          </w:tcBorders>
        </w:tcPr>
        <w:p w14:paraId="7D972473" w14:textId="77777777" w:rsidR="00DF5E61" w:rsidRPr="002F1934" w:rsidRDefault="00DF5E61" w:rsidP="00371470">
          <w:pPr>
            <w:pStyle w:val="Header"/>
            <w:tabs>
              <w:tab w:val="left" w:pos="552"/>
            </w:tabs>
            <w:jc w:val="left"/>
            <w:rPr>
              <w:i/>
              <w:lang w:val="fr-FR"/>
            </w:rPr>
          </w:pPr>
          <w:r w:rsidRPr="002F1934">
            <w:rPr>
              <w:lang w:val="fr-FR"/>
            </w:rPr>
            <w:t xml:space="preserve">Ref: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448CBC78" w:rsidR="00DF5E61" w:rsidRPr="002F1934" w:rsidRDefault="00DF5E61" w:rsidP="00371470">
          <w:pPr>
            <w:pStyle w:val="Header"/>
            <w:tabs>
              <w:tab w:val="left" w:pos="552"/>
            </w:tabs>
            <w:jc w:val="left"/>
            <w:rPr>
              <w:lang w:val="fr-FR"/>
            </w:rPr>
          </w:pPr>
          <w:r w:rsidRPr="002F1934">
            <w:rPr>
              <w:lang w:val="fr-FR"/>
            </w:rPr>
            <w:t xml:space="preserve">Version:         </w:t>
          </w:r>
          <w:r>
            <w:rPr>
              <w:lang w:val="fr-FR"/>
            </w:rPr>
            <w:t xml:space="preserve"> </w:t>
          </w:r>
          <w:r w:rsidRPr="002F1934">
            <w:rPr>
              <w:lang w:val="fr-FR"/>
            </w:rPr>
            <w:t xml:space="preserve"> </w:t>
          </w:r>
          <w:r w:rsidR="00F33494">
            <w:rPr>
              <w:lang w:val="fr-FR"/>
            </w:rPr>
            <w:t xml:space="preserve">            </w:t>
          </w:r>
          <w:r>
            <w:rPr>
              <w:lang w:val="fr-FR"/>
            </w:rPr>
            <w:t xml:space="preserve">   2.</w:t>
          </w:r>
          <w:r w:rsidR="00F33494">
            <w:rPr>
              <w:lang w:val="fr-FR"/>
            </w:rPr>
            <w:t>2</w:t>
          </w:r>
        </w:p>
        <w:p w14:paraId="011D8BB1" w14:textId="3081B192" w:rsidR="00DF5E61" w:rsidRDefault="00DF5E61" w:rsidP="008A5432">
          <w:pPr>
            <w:pStyle w:val="Header"/>
            <w:tabs>
              <w:tab w:val="left" w:pos="552"/>
            </w:tabs>
            <w:jc w:val="left"/>
            <w:rPr>
              <w:lang w:val="fr-FR"/>
            </w:rPr>
          </w:pPr>
          <w:r>
            <w:t>Date:    November 1</w:t>
          </w:r>
          <w:r w:rsidR="00F33494">
            <w:t>5</w:t>
          </w:r>
          <w:r>
            <w:t>, 2016</w:t>
          </w:r>
        </w:p>
      </w:tc>
    </w:tr>
    <w:tr w:rsidR="00DF5E61"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DF5E61" w:rsidRPr="00A735F3" w:rsidRDefault="00DF5E61" w:rsidP="009F77AC">
          <w:pPr>
            <w:pStyle w:val="Header"/>
            <w:ind w:right="-108"/>
            <w:jc w:val="left"/>
            <w:rPr>
              <w:lang w:val="fr-FR"/>
            </w:rPr>
          </w:pPr>
        </w:p>
      </w:tc>
      <w:tc>
        <w:tcPr>
          <w:tcW w:w="268" w:type="dxa"/>
          <w:vMerge/>
          <w:tcBorders>
            <w:top w:val="nil"/>
            <w:left w:val="nil"/>
            <w:bottom w:val="nil"/>
            <w:right w:val="nil"/>
          </w:tcBorders>
        </w:tcPr>
        <w:p w14:paraId="25BEA6C0" w14:textId="77777777" w:rsidR="00DF5E61" w:rsidRPr="00A735F3" w:rsidRDefault="00DF5E61" w:rsidP="009F77AC">
          <w:pPr>
            <w:pStyle w:val="Header"/>
            <w:jc w:val="right"/>
            <w:rPr>
              <w:lang w:val="fr-FR"/>
            </w:rPr>
          </w:pPr>
        </w:p>
      </w:tc>
      <w:tc>
        <w:tcPr>
          <w:tcW w:w="4373" w:type="dxa"/>
          <w:vMerge/>
          <w:tcBorders>
            <w:top w:val="nil"/>
            <w:left w:val="nil"/>
            <w:bottom w:val="nil"/>
            <w:right w:val="nil"/>
          </w:tcBorders>
        </w:tcPr>
        <w:p w14:paraId="1E0FEBDE" w14:textId="77777777" w:rsidR="00DF5E61" w:rsidRPr="00A735F3" w:rsidRDefault="00DF5E61" w:rsidP="009F77AC">
          <w:pPr>
            <w:pStyle w:val="Header"/>
            <w:jc w:val="right"/>
            <w:rPr>
              <w:lang w:val="fr-FR"/>
            </w:rPr>
          </w:pPr>
        </w:p>
      </w:tc>
      <w:tc>
        <w:tcPr>
          <w:tcW w:w="3843" w:type="dxa"/>
          <w:tcBorders>
            <w:top w:val="nil"/>
            <w:left w:val="nil"/>
            <w:bottom w:val="nil"/>
            <w:right w:val="nil"/>
          </w:tcBorders>
        </w:tcPr>
        <w:p w14:paraId="63D86E80" w14:textId="77777777" w:rsidR="00DF5E61" w:rsidRPr="00A735F3" w:rsidRDefault="00DF5E61" w:rsidP="00371470">
          <w:pPr>
            <w:pStyle w:val="Header"/>
            <w:rPr>
              <w:lang w:val="fr-FR"/>
            </w:rPr>
          </w:pPr>
        </w:p>
      </w:tc>
    </w:tr>
  </w:tbl>
  <w:p w14:paraId="79B4A2E2" w14:textId="05236AA0" w:rsidR="00DF5E61" w:rsidRDefault="00DF5E61" w:rsidP="009F77AC">
    <w:pPr>
      <w:pStyle w:val="Header"/>
      <w:jc w:val="left"/>
    </w:pPr>
    <w:r>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6150"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5AD4"/>
    <w:rsid w:val="00116102"/>
    <w:rsid w:val="001162D3"/>
    <w:rsid w:val="00117C38"/>
    <w:rsid w:val="00123849"/>
    <w:rsid w:val="0012513D"/>
    <w:rsid w:val="00126312"/>
    <w:rsid w:val="00127D79"/>
    <w:rsid w:val="0014281C"/>
    <w:rsid w:val="00143596"/>
    <w:rsid w:val="0014478B"/>
    <w:rsid w:val="00144989"/>
    <w:rsid w:val="00147B56"/>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7BA2"/>
    <w:rsid w:val="002E267A"/>
    <w:rsid w:val="002E2FE8"/>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671E"/>
    <w:rsid w:val="00417BC4"/>
    <w:rsid w:val="00421C40"/>
    <w:rsid w:val="004245FA"/>
    <w:rsid w:val="00426856"/>
    <w:rsid w:val="004318EC"/>
    <w:rsid w:val="00431CFF"/>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5A82"/>
    <w:rsid w:val="004C66FF"/>
    <w:rsid w:val="004C6B84"/>
    <w:rsid w:val="004D0F59"/>
    <w:rsid w:val="004D1FF7"/>
    <w:rsid w:val="004D5A72"/>
    <w:rsid w:val="004E058C"/>
    <w:rsid w:val="004E21FF"/>
    <w:rsid w:val="004F107D"/>
    <w:rsid w:val="004F1C8C"/>
    <w:rsid w:val="004F5009"/>
    <w:rsid w:val="00507825"/>
    <w:rsid w:val="00507B83"/>
    <w:rsid w:val="00515B67"/>
    <w:rsid w:val="00516344"/>
    <w:rsid w:val="00521EAD"/>
    <w:rsid w:val="005224B2"/>
    <w:rsid w:val="005224E1"/>
    <w:rsid w:val="0052309A"/>
    <w:rsid w:val="0053240A"/>
    <w:rsid w:val="005336E8"/>
    <w:rsid w:val="00537419"/>
    <w:rsid w:val="00541806"/>
    <w:rsid w:val="00542845"/>
    <w:rsid w:val="00545574"/>
    <w:rsid w:val="0054638A"/>
    <w:rsid w:val="005479B7"/>
    <w:rsid w:val="00553FD9"/>
    <w:rsid w:val="0055502D"/>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D3F69"/>
    <w:rsid w:val="005D5DDE"/>
    <w:rsid w:val="005D7943"/>
    <w:rsid w:val="005E5A5F"/>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3481"/>
    <w:rsid w:val="006E3E5E"/>
    <w:rsid w:val="006E43C6"/>
    <w:rsid w:val="006E5520"/>
    <w:rsid w:val="006E7C6F"/>
    <w:rsid w:val="006F0B3F"/>
    <w:rsid w:val="006F374F"/>
    <w:rsid w:val="006F4C26"/>
    <w:rsid w:val="006F753C"/>
    <w:rsid w:val="006F7766"/>
    <w:rsid w:val="007025DF"/>
    <w:rsid w:val="00705AE8"/>
    <w:rsid w:val="00706868"/>
    <w:rsid w:val="0071312D"/>
    <w:rsid w:val="007134AB"/>
    <w:rsid w:val="00714614"/>
    <w:rsid w:val="00714CFE"/>
    <w:rsid w:val="00720C10"/>
    <w:rsid w:val="00721183"/>
    <w:rsid w:val="00724491"/>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B665B"/>
    <w:rsid w:val="007C1103"/>
    <w:rsid w:val="007C157A"/>
    <w:rsid w:val="007C3114"/>
    <w:rsid w:val="007C4406"/>
    <w:rsid w:val="007C47D2"/>
    <w:rsid w:val="007C48DB"/>
    <w:rsid w:val="007D50AF"/>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3171"/>
    <w:rsid w:val="00836FB7"/>
    <w:rsid w:val="008421CE"/>
    <w:rsid w:val="00843B33"/>
    <w:rsid w:val="00844354"/>
    <w:rsid w:val="00844A67"/>
    <w:rsid w:val="00846DB8"/>
    <w:rsid w:val="00852FBB"/>
    <w:rsid w:val="00853BDB"/>
    <w:rsid w:val="00855BDE"/>
    <w:rsid w:val="00855CA5"/>
    <w:rsid w:val="008564C3"/>
    <w:rsid w:val="00856916"/>
    <w:rsid w:val="0086029C"/>
    <w:rsid w:val="00860C1F"/>
    <w:rsid w:val="0086211C"/>
    <w:rsid w:val="0086212A"/>
    <w:rsid w:val="00864B75"/>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337E"/>
    <w:rsid w:val="00A24B7F"/>
    <w:rsid w:val="00A3297F"/>
    <w:rsid w:val="00A372F4"/>
    <w:rsid w:val="00A40037"/>
    <w:rsid w:val="00A417EC"/>
    <w:rsid w:val="00A50AF8"/>
    <w:rsid w:val="00A549AF"/>
    <w:rsid w:val="00A55E63"/>
    <w:rsid w:val="00A5772B"/>
    <w:rsid w:val="00A6129B"/>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3BD9"/>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3B2C"/>
    <w:rsid w:val="00C943A1"/>
    <w:rsid w:val="00C943ED"/>
    <w:rsid w:val="00C9509F"/>
    <w:rsid w:val="00CA3129"/>
    <w:rsid w:val="00CA5078"/>
    <w:rsid w:val="00CB09C0"/>
    <w:rsid w:val="00CC3E0F"/>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663C"/>
    <w:rsid w:val="00E7129D"/>
    <w:rsid w:val="00E82750"/>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3494"/>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w3.org/TR/xml-c14n11/" TargetMode="External"/><Relationship Id="rId34" Type="http://schemas.openxmlformats.org/officeDocument/2006/relationships/hyperlink" Target="http://www.w3.org/Help/Webmaster.html"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image" Target="media/image4.emf"/><Relationship Id="rId33" Type="http://schemas.openxmlformats.org/officeDocument/2006/relationships/hyperlink" Target="http://www.w3.org/TR/2002/REC-xmldsig-core-20020212/xmldsig-core-schema.xsd" TargetMode="Externa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openxmlformats.org/officeDocument/2006/relationships/hyperlink" Target="http://www.w3.org/2000/09/xmldsig" TargetMode="Externa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0/09/xmldsi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image" Target="media/image5.emf"/><Relationship Id="rId30" Type="http://schemas.openxmlformats.org/officeDocument/2006/relationships/hyperlink" Target="http://www.w3.org/2006/12/xml-c14n1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AEA9-D90A-4B58-9051-95BD69E4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TotalTime>
  <Pages>31</Pages>
  <Words>6714</Words>
  <Characters>44893</Characters>
  <Application>Microsoft Office Word</Application>
  <DocSecurity>0</DocSecurity>
  <Lines>374</Lines>
  <Paragraphs>103</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6</cp:revision>
  <cp:lastPrinted>2016-11-15T00:51:00Z</cp:lastPrinted>
  <dcterms:created xsi:type="dcterms:W3CDTF">2016-11-16T06:44:00Z</dcterms:created>
  <dcterms:modified xsi:type="dcterms:W3CDTF">2016-11-16T06:51:00Z</dcterms:modified>
</cp:coreProperties>
</file>